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A8" w:rsidRDefault="00EC39A8">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EC39A8">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rsidR="00EC39A8" w:rsidRDefault="00EC39A8">
            <w:pPr>
              <w:rPr>
                <w:rFonts w:asciiTheme="minorHAnsi" w:hAnsiTheme="minorHAnsi" w:cstheme="minorHAnsi"/>
                <w:b/>
                <w:sz w:val="32"/>
                <w:szCs w:val="22"/>
              </w:rPr>
            </w:pPr>
          </w:p>
          <w:p w:rsidR="00EC39A8" w:rsidRDefault="00E95C89">
            <w:pPr>
              <w:rPr>
                <w:rFonts w:asciiTheme="minorHAnsi" w:hAnsiTheme="minorHAnsi" w:cstheme="minorHAnsi"/>
                <w:b/>
                <w:sz w:val="32"/>
                <w:szCs w:val="22"/>
              </w:rPr>
            </w:pPr>
            <w:r>
              <w:rPr>
                <w:rFonts w:asciiTheme="minorHAnsi" w:hAnsiTheme="minorHAnsi" w:cstheme="minorHAnsi"/>
                <w:b/>
                <w:sz w:val="32"/>
                <w:szCs w:val="22"/>
              </w:rPr>
              <w:t>REGLEMENT DE LA CONSULTATION (RC)</w:t>
            </w:r>
          </w:p>
          <w:p w:rsidR="00EC39A8" w:rsidRDefault="00EC39A8">
            <w:pPr>
              <w:rPr>
                <w:rFonts w:asciiTheme="minorHAnsi" w:hAnsiTheme="minorHAnsi" w:cstheme="minorHAnsi"/>
                <w:b/>
                <w:sz w:val="32"/>
                <w:szCs w:val="22"/>
              </w:rPr>
            </w:pPr>
          </w:p>
        </w:tc>
      </w:tr>
      <w:tr w:rsidR="00EC39A8">
        <w:trPr>
          <w:gridAfter w:val="1"/>
          <w:wAfter w:w="15" w:type="dxa"/>
          <w:trHeight w:val="318"/>
        </w:trPr>
        <w:tc>
          <w:tcPr>
            <w:tcW w:w="8190" w:type="dxa"/>
            <w:gridSpan w:val="2"/>
            <w:tcBorders>
              <w:top w:val="none" w:sz="4" w:space="0" w:color="000000"/>
              <w:left w:val="none" w:sz="4" w:space="0" w:color="000000"/>
              <w:bottom w:val="none" w:sz="4" w:space="0" w:color="000000"/>
              <w:right w:val="none" w:sz="4" w:space="0" w:color="000000"/>
            </w:tcBorders>
          </w:tcPr>
          <w:p w:rsidR="00EC39A8" w:rsidRDefault="00EC39A8">
            <w:pPr>
              <w:rPr>
                <w:rFonts w:asciiTheme="minorHAnsi" w:hAnsiTheme="minorHAnsi" w:cstheme="minorHAnsi"/>
                <w:b/>
                <w:sz w:val="22"/>
                <w:szCs w:val="22"/>
              </w:rPr>
            </w:pPr>
          </w:p>
        </w:tc>
      </w:tr>
      <w:tr w:rsidR="00EC39A8">
        <w:tc>
          <w:tcPr>
            <w:tcW w:w="236" w:type="dxa"/>
            <w:tcBorders>
              <w:top w:val="none" w:sz="4" w:space="0" w:color="000000"/>
              <w:left w:val="none" w:sz="4" w:space="0" w:color="000000"/>
              <w:bottom w:val="none" w:sz="4" w:space="0" w:color="000000"/>
              <w:right w:val="single" w:sz="4" w:space="0" w:color="auto"/>
            </w:tcBorders>
          </w:tcPr>
          <w:p w:rsidR="00EC39A8" w:rsidRDefault="00EC39A8">
            <w:pPr>
              <w:rPr>
                <w:rFonts w:asciiTheme="minorHAnsi" w:hAnsiTheme="minorHAnsi" w:cstheme="minorHAnsi"/>
                <w:b/>
                <w:sz w:val="22"/>
                <w:szCs w:val="22"/>
              </w:rPr>
            </w:pPr>
          </w:p>
        </w:tc>
        <w:tc>
          <w:tcPr>
            <w:tcW w:w="7969" w:type="dxa"/>
            <w:gridSpan w:val="2"/>
            <w:tcBorders>
              <w:top w:val="none" w:sz="4" w:space="0" w:color="000000"/>
              <w:left w:val="single" w:sz="4" w:space="0" w:color="auto"/>
              <w:bottom w:val="single" w:sz="4" w:space="0" w:color="auto"/>
              <w:right w:val="none" w:sz="4" w:space="0" w:color="000000"/>
            </w:tcBorders>
          </w:tcPr>
          <w:p w:rsidR="00EC39A8" w:rsidRDefault="00E95C89">
            <w:pPr>
              <w:rPr>
                <w:rFonts w:asciiTheme="minorHAnsi" w:hAnsiTheme="minorHAnsi" w:cstheme="minorHAnsi"/>
                <w:b/>
                <w:caps/>
                <w:smallCaps/>
                <w:sz w:val="22"/>
                <w:szCs w:val="22"/>
              </w:rPr>
            </w:pPr>
            <w:r>
              <w:rPr>
                <w:rFonts w:asciiTheme="minorHAnsi" w:hAnsiTheme="minorHAnsi" w:cstheme="minorHAnsi"/>
                <w:b/>
                <w:smallCaps/>
                <w:sz w:val="22"/>
                <w:szCs w:val="22"/>
              </w:rPr>
              <w:t>O</w:t>
            </w:r>
            <w:r>
              <w:rPr>
                <w:rFonts w:asciiTheme="minorHAnsi" w:hAnsiTheme="minorHAnsi" w:cstheme="minorHAnsi"/>
                <w:b/>
                <w:caps/>
                <w:sz w:val="22"/>
                <w:szCs w:val="22"/>
              </w:rPr>
              <w:t>BJET Du projet de contrat:</w:t>
            </w:r>
          </w:p>
          <w:p w:rsidR="00EC39A8" w:rsidRDefault="00E95C89">
            <w:pPr>
              <w:jc w:val="both"/>
              <w:rPr>
                <w:rFonts w:asciiTheme="minorHAnsi" w:hAnsiTheme="minorHAnsi" w:cstheme="minorHAnsi"/>
                <w:b/>
                <w:sz w:val="22"/>
                <w:szCs w:val="22"/>
              </w:rPr>
            </w:pPr>
            <w:r>
              <w:rPr>
                <w:rFonts w:asciiTheme="minorHAnsi" w:hAnsiTheme="minorHAnsi" w:cstheme="minorHAnsi"/>
                <w:b/>
                <w:caps/>
                <w:sz w:val="22"/>
                <w:szCs w:val="22"/>
              </w:rPr>
              <w:t xml:space="preserve">Fourniture et installation de cabines multi-usage et équipement pour des sites d'échouage </w:t>
            </w:r>
          </w:p>
        </w:tc>
      </w:tr>
      <w:tr w:rsidR="00EC39A8">
        <w:tc>
          <w:tcPr>
            <w:tcW w:w="236" w:type="dxa"/>
            <w:tcBorders>
              <w:top w:val="none" w:sz="4" w:space="0" w:color="000000"/>
              <w:left w:val="none" w:sz="4" w:space="0" w:color="000000"/>
              <w:bottom w:val="none" w:sz="4" w:space="0" w:color="000000"/>
              <w:right w:val="single" w:sz="4" w:space="0" w:color="auto"/>
            </w:tcBorders>
          </w:tcPr>
          <w:p w:rsidR="00EC39A8" w:rsidRDefault="00EC39A8">
            <w:pPr>
              <w:rPr>
                <w:rFonts w:asciiTheme="minorHAnsi" w:hAnsiTheme="minorHAnsi" w:cstheme="minorHAnsi"/>
                <w:b/>
                <w:sz w:val="22"/>
                <w:szCs w:val="22"/>
              </w:rPr>
            </w:pPr>
          </w:p>
        </w:tc>
        <w:tc>
          <w:tcPr>
            <w:tcW w:w="7969" w:type="dxa"/>
            <w:gridSpan w:val="2"/>
            <w:tcBorders>
              <w:top w:val="none" w:sz="4" w:space="0" w:color="000000"/>
              <w:left w:val="single" w:sz="4" w:space="0" w:color="auto"/>
              <w:bottom w:val="single" w:sz="4" w:space="0" w:color="auto"/>
              <w:right w:val="none" w:sz="4" w:space="0" w:color="000000"/>
            </w:tcBorders>
          </w:tcPr>
          <w:p w:rsidR="00EC39A8" w:rsidRDefault="00E95C89">
            <w:pPr>
              <w:rPr>
                <w:rFonts w:asciiTheme="minorHAnsi" w:hAnsiTheme="minorHAnsi" w:cstheme="minorHAnsi"/>
                <w:b/>
                <w:caps/>
                <w:smallCaps/>
                <w:sz w:val="22"/>
                <w:szCs w:val="22"/>
              </w:rPr>
            </w:pPr>
            <w:r>
              <w:rPr>
                <w:rFonts w:asciiTheme="minorHAnsi" w:hAnsiTheme="minorHAnsi" w:cstheme="minorHAnsi"/>
                <w:b/>
                <w:smallCaps/>
                <w:sz w:val="22"/>
                <w:szCs w:val="22"/>
              </w:rPr>
              <w:t>REPRESENTANT LEGAL DU POUVOIR ADJUDICATEUR :</w:t>
            </w:r>
          </w:p>
          <w:p w:rsidR="00EC39A8" w:rsidRDefault="00E95C89">
            <w:pPr>
              <w:rPr>
                <w:rFonts w:asciiTheme="minorHAnsi" w:hAnsiTheme="minorHAnsi" w:cstheme="minorHAnsi"/>
                <w:sz w:val="22"/>
                <w:szCs w:val="22"/>
              </w:rPr>
            </w:pPr>
            <w:r>
              <w:rPr>
                <w:rFonts w:asciiTheme="minorHAnsi" w:hAnsiTheme="minorHAnsi" w:cstheme="minorHAnsi"/>
                <w:sz w:val="22"/>
                <w:szCs w:val="22"/>
              </w:rPr>
              <w:t>Jérémie PELLET, Directeur général d’EXPERTISE FRANCE</w:t>
            </w:r>
          </w:p>
        </w:tc>
      </w:tr>
      <w:tr w:rsidR="00EC39A8">
        <w:trPr>
          <w:gridAfter w:val="1"/>
          <w:wAfter w:w="15" w:type="dxa"/>
          <w:trHeight w:val="60"/>
        </w:trPr>
        <w:tc>
          <w:tcPr>
            <w:tcW w:w="8190" w:type="dxa"/>
            <w:gridSpan w:val="2"/>
            <w:tcBorders>
              <w:top w:val="none" w:sz="4" w:space="0" w:color="000000"/>
              <w:left w:val="none" w:sz="4" w:space="0" w:color="000000"/>
              <w:bottom w:val="none" w:sz="4" w:space="0" w:color="000000"/>
              <w:right w:val="none" w:sz="4" w:space="0" w:color="000000"/>
            </w:tcBorders>
          </w:tcPr>
          <w:p w:rsidR="00EC39A8" w:rsidRDefault="00EC39A8">
            <w:pPr>
              <w:rPr>
                <w:rFonts w:asciiTheme="minorHAnsi" w:hAnsiTheme="minorHAnsi" w:cstheme="minorHAnsi"/>
                <w:b/>
                <w:sz w:val="22"/>
                <w:szCs w:val="22"/>
              </w:rPr>
            </w:pPr>
          </w:p>
        </w:tc>
      </w:tr>
      <w:tr w:rsidR="00EC39A8">
        <w:tc>
          <w:tcPr>
            <w:tcW w:w="236" w:type="dxa"/>
            <w:tcBorders>
              <w:top w:val="none" w:sz="4" w:space="0" w:color="000000"/>
              <w:left w:val="none" w:sz="4" w:space="0" w:color="000000"/>
              <w:bottom w:val="none" w:sz="4" w:space="0" w:color="000000"/>
              <w:right w:val="single" w:sz="4" w:space="0" w:color="auto"/>
            </w:tcBorders>
          </w:tcPr>
          <w:p w:rsidR="00EC39A8" w:rsidRDefault="00EC39A8">
            <w:pPr>
              <w:rPr>
                <w:rFonts w:asciiTheme="minorHAnsi" w:hAnsiTheme="minorHAnsi" w:cstheme="minorHAnsi"/>
                <w:b/>
                <w:sz w:val="22"/>
                <w:szCs w:val="22"/>
              </w:rPr>
            </w:pPr>
          </w:p>
        </w:tc>
        <w:tc>
          <w:tcPr>
            <w:tcW w:w="7969" w:type="dxa"/>
            <w:gridSpan w:val="2"/>
            <w:tcBorders>
              <w:top w:val="none" w:sz="4" w:space="0" w:color="000000"/>
              <w:left w:val="single" w:sz="4" w:space="0" w:color="auto"/>
              <w:bottom w:val="single" w:sz="4" w:space="0" w:color="auto"/>
              <w:right w:val="none" w:sz="4" w:space="0" w:color="000000"/>
            </w:tcBorders>
          </w:tcPr>
          <w:p w:rsidR="00EC39A8" w:rsidRDefault="00E95C89">
            <w:pPr>
              <w:rPr>
                <w:rFonts w:asciiTheme="minorHAnsi" w:hAnsiTheme="minorHAnsi" w:cstheme="minorHAnsi"/>
                <w:b/>
                <w:caps/>
                <w:smallCaps/>
                <w:sz w:val="22"/>
                <w:szCs w:val="22"/>
              </w:rPr>
            </w:pPr>
            <w:r>
              <w:rPr>
                <w:rFonts w:asciiTheme="minorHAnsi" w:hAnsiTheme="minorHAnsi" w:cstheme="minorHAnsi"/>
                <w:b/>
                <w:smallCaps/>
                <w:sz w:val="22"/>
                <w:szCs w:val="22"/>
              </w:rPr>
              <w:t>DATE ET HEURE LIMITES DE REMISE DES OFFRES :</w:t>
            </w:r>
          </w:p>
          <w:p w:rsidR="00EC39A8" w:rsidRDefault="00B77151">
            <w:pPr>
              <w:rPr>
                <w:rFonts w:asciiTheme="minorHAnsi" w:hAnsiTheme="minorHAnsi" w:cstheme="minorHAnsi"/>
                <w:sz w:val="22"/>
                <w:szCs w:val="22"/>
              </w:rPr>
            </w:pPr>
            <w:r>
              <w:rPr>
                <w:rFonts w:asciiTheme="minorHAnsi" w:hAnsiTheme="minorHAnsi" w:cstheme="minorHAnsi"/>
                <w:b/>
                <w:sz w:val="22"/>
                <w:szCs w:val="22"/>
              </w:rPr>
              <w:t>07</w:t>
            </w:r>
            <w:r w:rsidR="00C92980">
              <w:rPr>
                <w:rFonts w:asciiTheme="minorHAnsi" w:hAnsiTheme="minorHAnsi" w:cstheme="minorHAnsi"/>
                <w:b/>
                <w:sz w:val="22"/>
                <w:szCs w:val="22"/>
              </w:rPr>
              <w:t>/0</w:t>
            </w:r>
            <w:r>
              <w:rPr>
                <w:rFonts w:asciiTheme="minorHAnsi" w:hAnsiTheme="minorHAnsi" w:cstheme="minorHAnsi"/>
                <w:b/>
                <w:sz w:val="22"/>
                <w:szCs w:val="22"/>
              </w:rPr>
              <w:t>4/2026 à 12</w:t>
            </w:r>
            <w:r w:rsidR="00C92980">
              <w:rPr>
                <w:rFonts w:asciiTheme="minorHAnsi" w:hAnsiTheme="minorHAnsi" w:cstheme="minorHAnsi"/>
                <w:b/>
                <w:sz w:val="22"/>
                <w:szCs w:val="22"/>
              </w:rPr>
              <w:t>h00</w:t>
            </w:r>
            <w:r w:rsidR="00C92980">
              <w:rPr>
                <w:rFonts w:asciiTheme="minorHAnsi" w:hAnsiTheme="minorHAnsi" w:cstheme="minorHAnsi"/>
                <w:b/>
                <w:smallCaps/>
                <w:sz w:val="22"/>
                <w:szCs w:val="22"/>
              </w:rPr>
              <w:t xml:space="preserve">  (Heure de Paris)</w:t>
            </w:r>
          </w:p>
        </w:tc>
      </w:tr>
    </w:tbl>
    <w:p w:rsidR="00EC39A8" w:rsidRDefault="00EC39A8">
      <w:pPr>
        <w:rPr>
          <w:rFonts w:asciiTheme="minorHAnsi" w:hAnsiTheme="minorHAnsi" w:cstheme="minorHAnsi"/>
          <w:sz w:val="22"/>
          <w:szCs w:val="22"/>
        </w:rPr>
      </w:pPr>
    </w:p>
    <w:p w:rsidR="00EC39A8" w:rsidRDefault="00E95C89">
      <w:pPr>
        <w:spacing w:line="240" w:lineRule="auto"/>
        <w:rPr>
          <w:rFonts w:asciiTheme="minorHAnsi" w:hAnsiTheme="minorHAnsi" w:cstheme="minorHAnsi"/>
          <w:sz w:val="22"/>
          <w:szCs w:val="22"/>
        </w:rPr>
      </w:pPr>
      <w:r>
        <w:rPr>
          <w:rFonts w:asciiTheme="minorHAnsi" w:hAnsiTheme="minorHAnsi" w:cstheme="minorHAnsi"/>
          <w:sz w:val="22"/>
          <w:szCs w:val="22"/>
        </w:rPr>
        <w:br w:type="page" w:clear="all"/>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rsidR="00EC39A8" w:rsidRDefault="00E95C89">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rPr>
            <w:t>SOMMAIRE</w:t>
          </w:r>
        </w:p>
        <w:p w:rsidR="00EC39A8" w:rsidRDefault="00EC39A8">
          <w:pPr>
            <w:tabs>
              <w:tab w:val="left" w:pos="2265"/>
            </w:tabs>
            <w:rPr>
              <w:rFonts w:asciiTheme="minorHAnsi" w:hAnsiTheme="minorHAnsi" w:cstheme="minorHAnsi"/>
              <w:sz w:val="22"/>
              <w:szCs w:val="22"/>
            </w:rPr>
          </w:pPr>
        </w:p>
        <w:p w:rsidR="00EC39A8" w:rsidRDefault="00E95C89">
          <w:pPr>
            <w:pStyle w:val="TM1"/>
            <w:tabs>
              <w:tab w:val="left" w:pos="1440"/>
              <w:tab w:val="right" w:leader="dot" w:pos="9329"/>
            </w:tabs>
            <w:rPr>
              <w:rFonts w:asciiTheme="minorHAnsi" w:eastAsiaTheme="minorEastAsia" w:hAnsiTheme="minorHAnsi" w:cstheme="minorBidi"/>
              <w:sz w:val="24"/>
              <w:szCs w:val="24"/>
              <w14:ligatures w14:val="standardContextual"/>
            </w:rPr>
          </w:pPr>
          <w:r>
            <w:rPr>
              <w:rFonts w:asciiTheme="minorHAnsi" w:hAnsiTheme="minorHAnsi" w:cstheme="minorHAnsi"/>
              <w:sz w:val="22"/>
              <w:szCs w:val="22"/>
              <w:highlight w:val="yellow"/>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193931817" w:tooltip="#_Toc193931817" w:history="1">
            <w:r w:rsidR="00EC39A8">
              <w:rPr>
                <w:rStyle w:val="Lienhypertexte"/>
                <w:rFonts w:cstheme="minorHAnsi"/>
                <w:b/>
                <w:caps/>
              </w:rPr>
              <w:t>ARTICLE 1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Objet et étendue de la consultation</w:t>
            </w:r>
            <w:r w:rsidR="00EC39A8">
              <w:tab/>
            </w:r>
            <w:r w:rsidR="00EC39A8">
              <w:fldChar w:fldCharType="begin"/>
            </w:r>
            <w:r w:rsidR="00EC39A8">
              <w:instrText xml:space="preserve"> PAGEREF _Toc193931817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18" w:tooltip="#_Toc193931818" w:history="1">
            <w:r w:rsidR="00EC39A8">
              <w:rPr>
                <w:rStyle w:val="Lienhypertexte"/>
                <w:rFonts w:cstheme="minorHAnsi"/>
              </w:rPr>
              <w:t>Objet de la consultation</w:t>
            </w:r>
            <w:r w:rsidR="00EC39A8">
              <w:tab/>
            </w:r>
            <w:r w:rsidR="00EC39A8">
              <w:fldChar w:fldCharType="begin"/>
            </w:r>
            <w:r w:rsidR="00EC39A8">
              <w:instrText xml:space="preserve"> PAGEREF _Toc193931818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19" w:tooltip="#_Toc193931819" w:history="1">
            <w:r w:rsidR="00EC39A8">
              <w:rPr>
                <w:rStyle w:val="Lienhypertexte"/>
                <w:rFonts w:cstheme="minorHAnsi"/>
              </w:rPr>
              <w:t>Etendue de la consultation</w:t>
            </w:r>
            <w:r w:rsidR="00EC39A8">
              <w:tab/>
            </w:r>
            <w:r w:rsidR="00EC39A8">
              <w:fldChar w:fldCharType="begin"/>
            </w:r>
            <w:r w:rsidR="00EC39A8">
              <w:instrText xml:space="preserve"> PAGEREF _Toc193931819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20" w:tooltip="#_Toc193931820" w:history="1">
            <w:r w:rsidR="00EC39A8">
              <w:rPr>
                <w:rStyle w:val="Lienhypertexte"/>
                <w:rFonts w:cstheme="minorHAnsi"/>
              </w:rPr>
              <w:t>Calendrier prévisionnel de la consultation</w:t>
            </w:r>
            <w:r w:rsidR="00EC39A8">
              <w:tab/>
            </w:r>
            <w:r w:rsidR="00EC39A8">
              <w:fldChar w:fldCharType="begin"/>
            </w:r>
            <w:r w:rsidR="00EC39A8">
              <w:instrText xml:space="preserve"> PAGEREF _Toc193931820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21" w:tooltip="#_Toc193931821" w:history="1">
            <w:r w:rsidR="00EC39A8">
              <w:rPr>
                <w:rStyle w:val="Lienhypertexte"/>
                <w:rFonts w:cstheme="minorHAnsi"/>
              </w:rPr>
              <w:t>Langue de la consultation – unité monétaire</w:t>
            </w:r>
            <w:r w:rsidR="00EC39A8">
              <w:tab/>
            </w:r>
            <w:r w:rsidR="00EC39A8">
              <w:fldChar w:fldCharType="begin"/>
            </w:r>
            <w:r w:rsidR="00EC39A8">
              <w:instrText xml:space="preserve"> PAGEREF _Toc193931821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22" w:tooltip="#_Toc193931822" w:history="1">
            <w:r w:rsidR="00EC39A8">
              <w:rPr>
                <w:rStyle w:val="Lienhypertexte"/>
                <w:rFonts w:cstheme="minorHAnsi"/>
              </w:rPr>
              <w:t>Composition du dossier de consultation</w:t>
            </w:r>
            <w:r w:rsidR="00EC39A8">
              <w:tab/>
            </w:r>
            <w:r w:rsidR="00EC39A8">
              <w:fldChar w:fldCharType="begin"/>
            </w:r>
            <w:r w:rsidR="00EC39A8">
              <w:instrText xml:space="preserve"> PAGEREF _Toc193931822 \h </w:instrText>
            </w:r>
            <w:r w:rsidR="00EC39A8">
              <w:fldChar w:fldCharType="separate"/>
            </w:r>
            <w:r w:rsidR="00EC39A8">
              <w:t>5</w:t>
            </w:r>
            <w:r w:rsidR="00EC39A8">
              <w:fldChar w:fldCharType="end"/>
            </w:r>
          </w:hyperlink>
        </w:p>
        <w:p w:rsidR="00EC39A8" w:rsidRDefault="00260D0B">
          <w:pPr>
            <w:pStyle w:val="TM2"/>
            <w:rPr>
              <w:sz w:val="24"/>
              <w:szCs w:val="24"/>
              <w14:ligatures w14:val="standardContextual"/>
            </w:rPr>
          </w:pPr>
          <w:hyperlink w:anchor="_Toc193931823" w:tooltip="#_Toc193931823" w:history="1">
            <w:r w:rsidR="00EC39A8">
              <w:rPr>
                <w:rStyle w:val="Lienhypertexte"/>
                <w:rFonts w:cstheme="minorHAnsi"/>
              </w:rPr>
              <w:t>Modification du dossier de consultation</w:t>
            </w:r>
            <w:r w:rsidR="00EC39A8">
              <w:tab/>
            </w:r>
            <w:r w:rsidR="00EC39A8">
              <w:fldChar w:fldCharType="begin"/>
            </w:r>
            <w:r w:rsidR="00EC39A8">
              <w:instrText xml:space="preserve"> PAGEREF _Toc193931823 \h </w:instrText>
            </w:r>
            <w:r w:rsidR="00EC39A8">
              <w:fldChar w:fldCharType="separate"/>
            </w:r>
            <w:r w:rsidR="00EC39A8">
              <w:t>5</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24" w:tooltip="#_Toc193931824" w:history="1">
            <w:r w:rsidR="00EC39A8">
              <w:rPr>
                <w:rStyle w:val="Lienhypertexte"/>
                <w:rFonts w:cstheme="minorHAnsi"/>
                <w:b/>
                <w:caps/>
              </w:rPr>
              <w:t>ARTICLE 2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Caracteristiques GENERALES du projet de contrat</w:t>
            </w:r>
            <w:r w:rsidR="00EC39A8">
              <w:tab/>
            </w:r>
            <w:r w:rsidR="00EC39A8">
              <w:fldChar w:fldCharType="begin"/>
            </w:r>
            <w:r w:rsidR="00EC39A8">
              <w:instrText xml:space="preserve"> PAGEREF _Toc193931824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25" w:tooltip="#_Toc193931825" w:history="1">
            <w:r w:rsidR="00EC39A8">
              <w:rPr>
                <w:rStyle w:val="Lienhypertexte"/>
                <w:rFonts w:cstheme="minorHAnsi"/>
              </w:rPr>
              <w:t>Forme du contrat</w:t>
            </w:r>
            <w:r w:rsidR="00EC39A8">
              <w:tab/>
            </w:r>
            <w:r w:rsidR="00EC39A8">
              <w:fldChar w:fldCharType="begin"/>
            </w:r>
            <w:r w:rsidR="00EC39A8">
              <w:instrText xml:space="preserve"> PAGEREF _Toc193931825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26" w:tooltip="#_Toc193931826" w:history="1">
            <w:r w:rsidR="00EC39A8">
              <w:rPr>
                <w:rStyle w:val="Lienhypertexte"/>
                <w:rFonts w:cstheme="minorHAnsi"/>
              </w:rPr>
              <w:t>Montant maximal du besoin</w:t>
            </w:r>
            <w:r w:rsidR="00EC39A8">
              <w:tab/>
            </w:r>
            <w:r w:rsidR="00EC39A8">
              <w:fldChar w:fldCharType="begin"/>
            </w:r>
            <w:r w:rsidR="00EC39A8">
              <w:instrText xml:space="preserve"> PAGEREF _Toc193931826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27" w:tooltip="#_Toc193931827" w:history="1">
            <w:r w:rsidR="00EC39A8">
              <w:rPr>
                <w:rStyle w:val="Lienhypertexte"/>
                <w:rFonts w:cstheme="minorHAnsi"/>
              </w:rPr>
              <w:t>Durée du contrat</w:t>
            </w:r>
            <w:r w:rsidR="00EC39A8">
              <w:tab/>
            </w:r>
            <w:r w:rsidR="00EC39A8">
              <w:fldChar w:fldCharType="begin"/>
            </w:r>
            <w:r w:rsidR="00EC39A8">
              <w:instrText xml:space="preserve"> PAGEREF _Toc193931827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28" w:tooltip="#_Toc193931828" w:history="1">
            <w:r w:rsidR="00EC39A8">
              <w:rPr>
                <w:rStyle w:val="Lienhypertexte"/>
                <w:rFonts w:cstheme="minorHAnsi"/>
              </w:rPr>
              <w:t>Allotissement</w:t>
            </w:r>
            <w:r w:rsidR="00EC39A8">
              <w:tab/>
            </w:r>
            <w:r w:rsidR="00EC39A8">
              <w:fldChar w:fldCharType="begin"/>
            </w:r>
            <w:r w:rsidR="00EC39A8">
              <w:instrText xml:space="preserve"> PAGEREF _Toc193931828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29" w:tooltip="#_Toc193931829" w:history="1">
            <w:r w:rsidR="00EC39A8">
              <w:rPr>
                <w:rStyle w:val="Lienhypertexte"/>
                <w:rFonts w:cstheme="minorHAnsi"/>
              </w:rPr>
              <w:t>Options</w:t>
            </w:r>
            <w:r w:rsidR="00EC39A8">
              <w:tab/>
            </w:r>
            <w:r w:rsidR="00EC39A8">
              <w:fldChar w:fldCharType="begin"/>
            </w:r>
            <w:r w:rsidR="00EC39A8">
              <w:instrText xml:space="preserve"> PAGEREF _Toc193931829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30" w:tooltip="#_Toc193931830" w:history="1">
            <w:r w:rsidR="00EC39A8">
              <w:rPr>
                <w:rStyle w:val="Lienhypertexte"/>
                <w:rFonts w:cstheme="minorHAnsi"/>
                <w:i/>
              </w:rPr>
              <w:t>Prestations similaires</w:t>
            </w:r>
            <w:r w:rsidR="00EC39A8">
              <w:tab/>
            </w:r>
            <w:r w:rsidR="00EC39A8">
              <w:fldChar w:fldCharType="begin"/>
            </w:r>
            <w:r w:rsidR="00EC39A8">
              <w:instrText xml:space="preserve"> PAGEREF _Toc193931830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31" w:tooltip="#_Toc193931831" w:history="1">
            <w:r w:rsidR="00EC39A8">
              <w:rPr>
                <w:rStyle w:val="Lienhypertexte"/>
                <w:rFonts w:cstheme="minorHAnsi"/>
                <w:i/>
              </w:rPr>
              <w:t>Reconductions</w:t>
            </w:r>
            <w:r w:rsidR="00EC39A8">
              <w:tab/>
            </w:r>
            <w:r w:rsidR="00EC39A8">
              <w:fldChar w:fldCharType="begin"/>
            </w:r>
            <w:r w:rsidR="00EC39A8">
              <w:instrText xml:space="preserve"> PAGEREF _Toc193931831 \h </w:instrText>
            </w:r>
            <w:r w:rsidR="00EC39A8">
              <w:fldChar w:fldCharType="separate"/>
            </w:r>
            <w:r w:rsidR="00EC39A8">
              <w:t>6</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32" w:tooltip="#_Toc193931832" w:history="1">
            <w:r w:rsidR="00EC39A8">
              <w:rPr>
                <w:rStyle w:val="Lienhypertexte"/>
                <w:rFonts w:cstheme="minorHAnsi"/>
                <w:b/>
                <w:caps/>
              </w:rPr>
              <w:t>ARTICLE 3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Conditions de participation de candidats</w:t>
            </w:r>
            <w:r w:rsidR="00EC39A8">
              <w:tab/>
            </w:r>
            <w:r w:rsidR="00EC39A8">
              <w:fldChar w:fldCharType="begin"/>
            </w:r>
            <w:r w:rsidR="00EC39A8">
              <w:instrText xml:space="preserve"> PAGEREF _Toc193931832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33" w:tooltip="#_Toc193931833" w:history="1">
            <w:r w:rsidR="00EC39A8">
              <w:rPr>
                <w:rStyle w:val="Lienhypertexte"/>
                <w:rFonts w:cstheme="minorHAnsi"/>
              </w:rPr>
              <w:t>Conditions de présentation des candidatures</w:t>
            </w:r>
            <w:r w:rsidR="00EC39A8">
              <w:tab/>
            </w:r>
            <w:r w:rsidR="00EC39A8">
              <w:fldChar w:fldCharType="begin"/>
            </w:r>
            <w:r w:rsidR="00EC39A8">
              <w:instrText xml:space="preserve"> PAGEREF _Toc193931833 \h </w:instrText>
            </w:r>
            <w:r w:rsidR="00EC39A8">
              <w:fldChar w:fldCharType="separate"/>
            </w:r>
            <w:r w:rsidR="00EC39A8">
              <w:t>6</w:t>
            </w:r>
            <w:r w:rsidR="00EC39A8">
              <w:fldChar w:fldCharType="end"/>
            </w:r>
          </w:hyperlink>
        </w:p>
        <w:p w:rsidR="00EC39A8" w:rsidRDefault="00260D0B">
          <w:pPr>
            <w:pStyle w:val="TM2"/>
            <w:rPr>
              <w:sz w:val="24"/>
              <w:szCs w:val="24"/>
              <w14:ligatures w14:val="standardContextual"/>
            </w:rPr>
          </w:pPr>
          <w:hyperlink w:anchor="_Toc193931834" w:tooltip="#_Toc193931834" w:history="1">
            <w:r w:rsidR="00EC39A8">
              <w:rPr>
                <w:rStyle w:val="Lienhypertexte"/>
                <w:rFonts w:cstheme="minorHAnsi"/>
              </w:rPr>
              <w:t>Motifs et conditions d’exclusion</w:t>
            </w:r>
            <w:r w:rsidR="00EC39A8">
              <w:tab/>
            </w:r>
            <w:r w:rsidR="00EC39A8">
              <w:fldChar w:fldCharType="begin"/>
            </w:r>
            <w:r w:rsidR="00EC39A8">
              <w:instrText xml:space="preserve"> PAGEREF _Toc193931834 \h </w:instrText>
            </w:r>
            <w:r w:rsidR="00EC39A8">
              <w:fldChar w:fldCharType="separate"/>
            </w:r>
            <w:r w:rsidR="00EC39A8">
              <w:t>7</w:t>
            </w:r>
            <w:r w:rsidR="00EC39A8">
              <w:fldChar w:fldCharType="end"/>
            </w:r>
          </w:hyperlink>
        </w:p>
        <w:p w:rsidR="00EC39A8" w:rsidRDefault="00260D0B">
          <w:pPr>
            <w:pStyle w:val="TM2"/>
            <w:rPr>
              <w:sz w:val="24"/>
              <w:szCs w:val="24"/>
              <w14:ligatures w14:val="standardContextual"/>
            </w:rPr>
          </w:pPr>
          <w:hyperlink w:anchor="_Toc193931835" w:tooltip="#_Toc193931835" w:history="1">
            <w:r w:rsidR="00EC39A8">
              <w:rPr>
                <w:rStyle w:val="Lienhypertexte"/>
                <w:rFonts w:cstheme="minorHAnsi"/>
              </w:rPr>
              <w:t>Niveaux minimaux requis en termes de capacités économiques, techniques et professionnelles</w:t>
            </w:r>
            <w:r w:rsidR="00EC39A8">
              <w:tab/>
            </w:r>
            <w:r w:rsidR="00EC39A8">
              <w:fldChar w:fldCharType="begin"/>
            </w:r>
            <w:r w:rsidR="00EC39A8">
              <w:instrText xml:space="preserve"> PAGEREF _Toc193931835 \h </w:instrText>
            </w:r>
            <w:r w:rsidR="00EC39A8">
              <w:fldChar w:fldCharType="separate"/>
            </w:r>
            <w:r w:rsidR="00EC39A8">
              <w:t>7</w:t>
            </w:r>
            <w:r w:rsidR="00EC39A8">
              <w:fldChar w:fldCharType="end"/>
            </w:r>
          </w:hyperlink>
        </w:p>
        <w:p w:rsidR="00EC39A8" w:rsidRDefault="00260D0B">
          <w:pPr>
            <w:pStyle w:val="TM2"/>
            <w:rPr>
              <w:sz w:val="24"/>
              <w:szCs w:val="24"/>
              <w14:ligatures w14:val="standardContextual"/>
            </w:rPr>
          </w:pPr>
          <w:hyperlink w:anchor="_Toc193931836" w:tooltip="#_Toc193931836" w:history="1">
            <w:r w:rsidR="00EC39A8">
              <w:rPr>
                <w:rStyle w:val="Lienhypertexte"/>
                <w:rFonts w:cstheme="minorHAnsi"/>
              </w:rPr>
              <w:t>Précisions concernant les groupements d'opérateurs économiques (consortium)</w:t>
            </w:r>
            <w:r w:rsidR="00EC39A8">
              <w:tab/>
            </w:r>
            <w:r w:rsidR="00EC39A8">
              <w:fldChar w:fldCharType="begin"/>
            </w:r>
            <w:r w:rsidR="00EC39A8">
              <w:instrText xml:space="preserve"> PAGEREF _Toc193931836 \h </w:instrText>
            </w:r>
            <w:r w:rsidR="00EC39A8">
              <w:fldChar w:fldCharType="separate"/>
            </w:r>
            <w:r w:rsidR="00EC39A8">
              <w:t>7</w:t>
            </w:r>
            <w:r w:rsidR="00EC39A8">
              <w:fldChar w:fldCharType="end"/>
            </w:r>
          </w:hyperlink>
        </w:p>
        <w:p w:rsidR="00EC39A8" w:rsidRDefault="00260D0B">
          <w:pPr>
            <w:pStyle w:val="TM2"/>
            <w:rPr>
              <w:sz w:val="24"/>
              <w:szCs w:val="24"/>
              <w14:ligatures w14:val="standardContextual"/>
            </w:rPr>
          </w:pPr>
          <w:hyperlink w:anchor="_Toc193931837" w:tooltip="#_Toc193931837" w:history="1">
            <w:r w:rsidR="00EC39A8">
              <w:rPr>
                <w:rStyle w:val="Lienhypertexte"/>
                <w:rFonts w:cstheme="minorHAnsi"/>
                <w:i/>
              </w:rPr>
              <w:t>Motifs d'exclusion en cas de groupement d'opérateurs économiques</w:t>
            </w:r>
            <w:r w:rsidR="00EC39A8">
              <w:tab/>
            </w:r>
            <w:r w:rsidR="00EC39A8">
              <w:fldChar w:fldCharType="begin"/>
            </w:r>
            <w:r w:rsidR="00EC39A8">
              <w:instrText xml:space="preserve"> PAGEREF _Toc193931837 \h </w:instrText>
            </w:r>
            <w:r w:rsidR="00EC39A8">
              <w:fldChar w:fldCharType="separate"/>
            </w:r>
            <w:r w:rsidR="00EC39A8">
              <w:t>7</w:t>
            </w:r>
            <w:r w:rsidR="00EC39A8">
              <w:fldChar w:fldCharType="end"/>
            </w:r>
          </w:hyperlink>
        </w:p>
        <w:p w:rsidR="00EC39A8" w:rsidRDefault="00260D0B">
          <w:pPr>
            <w:pStyle w:val="TM2"/>
            <w:rPr>
              <w:sz w:val="24"/>
              <w:szCs w:val="24"/>
              <w14:ligatures w14:val="standardContextual"/>
            </w:rPr>
          </w:pPr>
          <w:hyperlink w:anchor="_Toc193931838" w:tooltip="#_Toc193931838" w:history="1">
            <w:r w:rsidR="00EC39A8">
              <w:rPr>
                <w:rStyle w:val="Lienhypertexte"/>
                <w:rFonts w:cstheme="minorHAnsi"/>
                <w:i/>
              </w:rPr>
              <w:t>Forme du groupement</w:t>
            </w:r>
            <w:r w:rsidR="00EC39A8">
              <w:tab/>
            </w:r>
            <w:r w:rsidR="00EC39A8">
              <w:fldChar w:fldCharType="begin"/>
            </w:r>
            <w:r w:rsidR="00EC39A8">
              <w:instrText xml:space="preserve"> PAGEREF _Toc193931838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39" w:tooltip="#_Toc193931839" w:history="1">
            <w:r w:rsidR="00EC39A8">
              <w:rPr>
                <w:rStyle w:val="Lienhypertexte"/>
                <w:rFonts w:cstheme="minorHAnsi"/>
              </w:rPr>
              <w:t>Précisions concernant la sous-traitance</w:t>
            </w:r>
            <w:r w:rsidR="00EC39A8">
              <w:tab/>
            </w:r>
            <w:r w:rsidR="00EC39A8">
              <w:fldChar w:fldCharType="begin"/>
            </w:r>
            <w:r w:rsidR="00EC39A8">
              <w:instrText xml:space="preserve"> PAGEREF _Toc193931839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40" w:tooltip="#_Toc193931840" w:history="1">
            <w:r w:rsidR="00EC39A8">
              <w:rPr>
                <w:rStyle w:val="Lienhypertexte"/>
                <w:rFonts w:cstheme="minorHAnsi"/>
                <w:i/>
              </w:rPr>
              <w:t>Motifs d'exclusion en cas de sous-traitance</w:t>
            </w:r>
            <w:r w:rsidR="00EC39A8">
              <w:tab/>
            </w:r>
            <w:r w:rsidR="00EC39A8">
              <w:fldChar w:fldCharType="begin"/>
            </w:r>
            <w:r w:rsidR="00EC39A8">
              <w:instrText xml:space="preserve"> PAGEREF _Toc193931840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41" w:tooltip="#_Toc193931841" w:history="1">
            <w:r w:rsidR="00EC39A8">
              <w:rPr>
                <w:rStyle w:val="Lienhypertexte"/>
                <w:rFonts w:cstheme="minorHAnsi"/>
                <w:i/>
              </w:rPr>
              <w:t>Présentation d’un sous-traitant</w:t>
            </w:r>
            <w:r w:rsidR="00EC39A8">
              <w:tab/>
            </w:r>
            <w:r w:rsidR="00EC39A8">
              <w:fldChar w:fldCharType="begin"/>
            </w:r>
            <w:r w:rsidR="00EC39A8">
              <w:instrText xml:space="preserve"> PAGEREF _Toc193931841 \h </w:instrText>
            </w:r>
            <w:r w:rsidR="00EC39A8">
              <w:fldChar w:fldCharType="separate"/>
            </w:r>
            <w:r w:rsidR="00EC39A8">
              <w:t>8</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42" w:tooltip="#_Toc193931842" w:history="1">
            <w:r w:rsidR="00EC39A8">
              <w:rPr>
                <w:rStyle w:val="Lienhypertexte"/>
                <w:rFonts w:cstheme="minorHAnsi"/>
                <w:b/>
                <w:caps/>
              </w:rPr>
              <w:t>ARTICLE 4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Présentation des plis et modalités de depôt</w:t>
            </w:r>
            <w:r w:rsidR="00EC39A8">
              <w:tab/>
            </w:r>
            <w:r w:rsidR="00EC39A8">
              <w:fldChar w:fldCharType="begin"/>
            </w:r>
            <w:r w:rsidR="00EC39A8">
              <w:instrText xml:space="preserve"> PAGEREF _Toc193931842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43" w:tooltip="#_Toc193931843" w:history="1">
            <w:r w:rsidR="00EC39A8">
              <w:rPr>
                <w:rStyle w:val="Lienhypertexte"/>
                <w:rFonts w:cstheme="minorHAnsi"/>
              </w:rPr>
              <w:t>Pièces constitutives de la candidature</w:t>
            </w:r>
            <w:r w:rsidR="00EC39A8">
              <w:tab/>
            </w:r>
            <w:r w:rsidR="00EC39A8">
              <w:fldChar w:fldCharType="begin"/>
            </w:r>
            <w:r w:rsidR="00EC39A8">
              <w:instrText xml:space="preserve"> PAGEREF _Toc193931843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44" w:tooltip="#_Toc193931844" w:history="1">
            <w:r w:rsidR="00EC39A8">
              <w:rPr>
                <w:rStyle w:val="Lienhypertexte"/>
                <w:rFonts w:cstheme="minorHAnsi"/>
              </w:rPr>
              <w:t>Pièces constitutives de l’offre</w:t>
            </w:r>
            <w:r w:rsidR="00EC39A8">
              <w:tab/>
            </w:r>
            <w:r w:rsidR="00EC39A8">
              <w:fldChar w:fldCharType="begin"/>
            </w:r>
            <w:r w:rsidR="00EC39A8">
              <w:instrText xml:space="preserve"> PAGEREF _Toc193931844 \h </w:instrText>
            </w:r>
            <w:r w:rsidR="00EC39A8">
              <w:fldChar w:fldCharType="separate"/>
            </w:r>
            <w:r w:rsidR="00EC39A8">
              <w:t>8</w:t>
            </w:r>
            <w:r w:rsidR="00EC39A8">
              <w:fldChar w:fldCharType="end"/>
            </w:r>
          </w:hyperlink>
        </w:p>
        <w:p w:rsidR="00EC39A8" w:rsidRDefault="00260D0B">
          <w:pPr>
            <w:pStyle w:val="TM2"/>
            <w:rPr>
              <w:sz w:val="24"/>
              <w:szCs w:val="24"/>
              <w14:ligatures w14:val="standardContextual"/>
            </w:rPr>
          </w:pPr>
          <w:hyperlink w:anchor="_Toc193931845" w:tooltip="#_Toc193931845" w:history="1">
            <w:r w:rsidR="00EC39A8">
              <w:rPr>
                <w:rStyle w:val="Lienhypertexte"/>
                <w:rFonts w:cstheme="minorHAnsi"/>
              </w:rPr>
              <w:t>Durée de validité des offres</w:t>
            </w:r>
            <w:r w:rsidR="00EC39A8">
              <w:tab/>
            </w:r>
            <w:r w:rsidR="00EC39A8">
              <w:fldChar w:fldCharType="begin"/>
            </w:r>
            <w:r w:rsidR="00EC39A8">
              <w:instrText xml:space="preserve"> PAGEREF _Toc193931845 \h </w:instrText>
            </w:r>
            <w:r w:rsidR="00EC39A8">
              <w:fldChar w:fldCharType="separate"/>
            </w:r>
            <w:r w:rsidR="00EC39A8">
              <w:t>9</w:t>
            </w:r>
            <w:r w:rsidR="00EC39A8">
              <w:fldChar w:fldCharType="end"/>
            </w:r>
          </w:hyperlink>
        </w:p>
        <w:p w:rsidR="00EC39A8" w:rsidRDefault="00260D0B">
          <w:pPr>
            <w:pStyle w:val="TM2"/>
            <w:rPr>
              <w:sz w:val="24"/>
              <w:szCs w:val="24"/>
              <w14:ligatures w14:val="standardContextual"/>
            </w:rPr>
          </w:pPr>
          <w:hyperlink w:anchor="_Toc193931846" w:tooltip="#_Toc193931846" w:history="1">
            <w:r w:rsidR="00EC39A8">
              <w:rPr>
                <w:rStyle w:val="Lienhypertexte"/>
                <w:rFonts w:cstheme="minorHAnsi"/>
              </w:rPr>
              <w:t>Modalités de remise des plis</w:t>
            </w:r>
            <w:r w:rsidR="00EC39A8">
              <w:tab/>
            </w:r>
            <w:r w:rsidR="00EC39A8">
              <w:fldChar w:fldCharType="begin"/>
            </w:r>
            <w:r w:rsidR="00EC39A8">
              <w:instrText xml:space="preserve"> PAGEREF _Toc193931846 \h </w:instrText>
            </w:r>
            <w:r w:rsidR="00EC39A8">
              <w:fldChar w:fldCharType="separate"/>
            </w:r>
            <w:r w:rsidR="00EC39A8">
              <w:t>9</w:t>
            </w:r>
            <w:r w:rsidR="00EC39A8">
              <w:fldChar w:fldCharType="end"/>
            </w:r>
          </w:hyperlink>
        </w:p>
        <w:p w:rsidR="00EC39A8" w:rsidRDefault="00260D0B">
          <w:pPr>
            <w:pStyle w:val="TM2"/>
            <w:rPr>
              <w:sz w:val="24"/>
              <w:szCs w:val="24"/>
              <w14:ligatures w14:val="standardContextual"/>
            </w:rPr>
          </w:pPr>
          <w:hyperlink w:anchor="_Toc193931847" w:tooltip="#_Toc193931847" w:history="1">
            <w:r w:rsidR="00EC39A8">
              <w:rPr>
                <w:rStyle w:val="Lienhypertexte"/>
                <w:rFonts w:cstheme="minorHAnsi"/>
                <w:i/>
              </w:rPr>
              <w:t>Remise des plis sous format papier</w:t>
            </w:r>
            <w:r w:rsidR="00EC39A8">
              <w:tab/>
            </w:r>
            <w:r w:rsidR="00EC39A8">
              <w:fldChar w:fldCharType="begin"/>
            </w:r>
            <w:r w:rsidR="00EC39A8">
              <w:instrText xml:space="preserve"> PAGEREF _Toc193931847 \h </w:instrText>
            </w:r>
            <w:r w:rsidR="00EC39A8">
              <w:fldChar w:fldCharType="separate"/>
            </w:r>
            <w:r w:rsidR="00EC39A8">
              <w:t>9</w:t>
            </w:r>
            <w:r w:rsidR="00EC39A8">
              <w:fldChar w:fldCharType="end"/>
            </w:r>
          </w:hyperlink>
        </w:p>
        <w:p w:rsidR="00EC39A8" w:rsidRDefault="00260D0B">
          <w:pPr>
            <w:pStyle w:val="TM2"/>
            <w:rPr>
              <w:sz w:val="24"/>
              <w:szCs w:val="24"/>
              <w14:ligatures w14:val="standardContextual"/>
            </w:rPr>
          </w:pPr>
          <w:hyperlink w:anchor="_Toc193931848" w:tooltip="#_Toc193931848" w:history="1">
            <w:r w:rsidR="00EC39A8">
              <w:rPr>
                <w:rStyle w:val="Lienhypertexte"/>
                <w:rFonts w:cstheme="minorHAnsi"/>
                <w:i/>
              </w:rPr>
              <w:t>Remise électronique</w:t>
            </w:r>
            <w:r w:rsidR="00EC39A8">
              <w:tab/>
            </w:r>
            <w:r w:rsidR="00EC39A8">
              <w:fldChar w:fldCharType="begin"/>
            </w:r>
            <w:r w:rsidR="00EC39A8">
              <w:instrText xml:space="preserve"> PAGEREF _Toc193931848 \h </w:instrText>
            </w:r>
            <w:r w:rsidR="00EC39A8">
              <w:fldChar w:fldCharType="separate"/>
            </w:r>
            <w:r w:rsidR="00EC39A8">
              <w:t>9</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49" w:tooltip="#_Toc193931849" w:history="1">
            <w:r w:rsidR="00EC39A8">
              <w:rPr>
                <w:rStyle w:val="Lienhypertexte"/>
                <w:rFonts w:cstheme="minorHAnsi"/>
                <w:b/>
                <w:caps/>
              </w:rPr>
              <w:t>ARTICLE 5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Analyse des candidatures</w:t>
            </w:r>
            <w:r w:rsidR="00EC39A8">
              <w:tab/>
            </w:r>
            <w:r w:rsidR="00EC39A8">
              <w:fldChar w:fldCharType="begin"/>
            </w:r>
            <w:r w:rsidR="00EC39A8">
              <w:instrText xml:space="preserve"> PAGEREF _Toc193931849 \h </w:instrText>
            </w:r>
            <w:r w:rsidR="00EC39A8">
              <w:fldChar w:fldCharType="separate"/>
            </w:r>
            <w:r w:rsidR="00EC39A8">
              <w:t>10</w:t>
            </w:r>
            <w:r w:rsidR="00EC39A8">
              <w:fldChar w:fldCharType="end"/>
            </w:r>
          </w:hyperlink>
        </w:p>
        <w:p w:rsidR="00EC39A8" w:rsidRDefault="00260D0B">
          <w:pPr>
            <w:pStyle w:val="TM2"/>
            <w:rPr>
              <w:sz w:val="24"/>
              <w:szCs w:val="24"/>
              <w14:ligatures w14:val="standardContextual"/>
            </w:rPr>
          </w:pPr>
          <w:hyperlink w:anchor="_Toc193931850" w:tooltip="#_Toc193931850" w:history="1">
            <w:r w:rsidR="00EC39A8">
              <w:rPr>
                <w:rStyle w:val="Lienhypertexte"/>
                <w:rFonts w:cstheme="minorHAnsi"/>
              </w:rPr>
              <w:t>Demande de compléments de candidature</w:t>
            </w:r>
            <w:r w:rsidR="00EC39A8">
              <w:tab/>
            </w:r>
            <w:r w:rsidR="00EC39A8">
              <w:fldChar w:fldCharType="begin"/>
            </w:r>
            <w:r w:rsidR="00EC39A8">
              <w:instrText xml:space="preserve"> PAGEREF _Toc193931850 \h </w:instrText>
            </w:r>
            <w:r w:rsidR="00EC39A8">
              <w:fldChar w:fldCharType="separate"/>
            </w:r>
            <w:r w:rsidR="00EC39A8">
              <w:t>10</w:t>
            </w:r>
            <w:r w:rsidR="00EC39A8">
              <w:fldChar w:fldCharType="end"/>
            </w:r>
          </w:hyperlink>
        </w:p>
        <w:p w:rsidR="00EC39A8" w:rsidRDefault="00260D0B">
          <w:pPr>
            <w:pStyle w:val="TM2"/>
            <w:rPr>
              <w:sz w:val="24"/>
              <w:szCs w:val="24"/>
              <w14:ligatures w14:val="standardContextual"/>
            </w:rPr>
          </w:pPr>
          <w:hyperlink w:anchor="_Toc193931851" w:tooltip="#_Toc193931851" w:history="1">
            <w:r w:rsidR="00EC39A8">
              <w:rPr>
                <w:rStyle w:val="Lienhypertexte"/>
                <w:rFonts w:cstheme="minorHAnsi"/>
              </w:rPr>
              <w:t>Rejet des candidatures hors délais - Ouverture des plis</w:t>
            </w:r>
            <w:r w:rsidR="00EC39A8">
              <w:tab/>
            </w:r>
            <w:r w:rsidR="00EC39A8">
              <w:fldChar w:fldCharType="begin"/>
            </w:r>
            <w:r w:rsidR="00EC39A8">
              <w:instrText xml:space="preserve"> PAGEREF _Toc193931851 \h </w:instrText>
            </w:r>
            <w:r w:rsidR="00EC39A8">
              <w:fldChar w:fldCharType="separate"/>
            </w:r>
            <w:r w:rsidR="00EC39A8">
              <w:t>10</w:t>
            </w:r>
            <w:r w:rsidR="00EC39A8">
              <w:fldChar w:fldCharType="end"/>
            </w:r>
          </w:hyperlink>
        </w:p>
        <w:p w:rsidR="00EC39A8" w:rsidRDefault="00260D0B">
          <w:pPr>
            <w:pStyle w:val="TM2"/>
            <w:rPr>
              <w:sz w:val="24"/>
              <w:szCs w:val="24"/>
              <w14:ligatures w14:val="standardContextual"/>
            </w:rPr>
          </w:pPr>
          <w:hyperlink w:anchor="_Toc193931852" w:tooltip="#_Toc193931852" w:history="1">
            <w:r w:rsidR="00EC39A8">
              <w:rPr>
                <w:rStyle w:val="Lienhypertexte"/>
                <w:rFonts w:cstheme="minorHAnsi"/>
              </w:rPr>
              <w:t>Recevabilité des candidatures</w:t>
            </w:r>
            <w:r w:rsidR="00EC39A8">
              <w:tab/>
            </w:r>
            <w:r w:rsidR="00EC39A8">
              <w:fldChar w:fldCharType="begin"/>
            </w:r>
            <w:r w:rsidR="00EC39A8">
              <w:instrText xml:space="preserve"> PAGEREF _Toc193931852 \h </w:instrText>
            </w:r>
            <w:r w:rsidR="00EC39A8">
              <w:fldChar w:fldCharType="separate"/>
            </w:r>
            <w:r w:rsidR="00EC39A8">
              <w:t>10</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53" w:tooltip="#_Toc193931853" w:history="1">
            <w:r w:rsidR="00EC39A8">
              <w:rPr>
                <w:rStyle w:val="Lienhypertexte"/>
                <w:rFonts w:cstheme="minorHAnsi"/>
                <w:b/>
                <w:caps/>
              </w:rPr>
              <w:t>ARTICLE 6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Evaluation des offres, négociation et attribution</w:t>
            </w:r>
            <w:r w:rsidR="00EC39A8">
              <w:tab/>
            </w:r>
            <w:r w:rsidR="00EC39A8">
              <w:fldChar w:fldCharType="begin"/>
            </w:r>
            <w:r w:rsidR="00EC39A8">
              <w:instrText xml:space="preserve"> PAGEREF _Toc193931853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4" w:tooltip="#_Toc193931854" w:history="1">
            <w:r w:rsidR="00EC39A8">
              <w:rPr>
                <w:rStyle w:val="Lienhypertexte"/>
                <w:rFonts w:cstheme="minorHAnsi"/>
              </w:rPr>
              <w:t>Rejet des offres hors délais - Ouverture des offres</w:t>
            </w:r>
            <w:r w:rsidR="00EC39A8">
              <w:tab/>
            </w:r>
            <w:r w:rsidR="00EC39A8">
              <w:fldChar w:fldCharType="begin"/>
            </w:r>
            <w:r w:rsidR="00EC39A8">
              <w:instrText xml:space="preserve"> PAGEREF _Toc193931854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5" w:tooltip="#_Toc193931855" w:history="1">
            <w:r w:rsidR="00EC39A8">
              <w:rPr>
                <w:rStyle w:val="Lienhypertexte"/>
                <w:rFonts w:cstheme="minorHAnsi"/>
              </w:rPr>
              <w:t>Analyse des offres</w:t>
            </w:r>
            <w:r w:rsidR="00EC39A8">
              <w:tab/>
            </w:r>
            <w:r w:rsidR="00EC39A8">
              <w:fldChar w:fldCharType="begin"/>
            </w:r>
            <w:r w:rsidR="00EC39A8">
              <w:instrText xml:space="preserve"> PAGEREF _Toc193931855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6" w:tooltip="#_Toc193931856" w:history="1">
            <w:r w:rsidR="00EC39A8">
              <w:rPr>
                <w:rStyle w:val="Lienhypertexte"/>
                <w:rFonts w:cstheme="minorHAnsi"/>
              </w:rPr>
              <w:t>Rejet des offres irrégulières, inacceptables et inappropriées</w:t>
            </w:r>
            <w:r w:rsidR="00EC39A8">
              <w:tab/>
            </w:r>
            <w:r w:rsidR="00EC39A8">
              <w:fldChar w:fldCharType="begin"/>
            </w:r>
            <w:r w:rsidR="00EC39A8">
              <w:instrText xml:space="preserve"> PAGEREF _Toc193931856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7" w:tooltip="#_Toc193931857" w:history="1">
            <w:r w:rsidR="00EC39A8">
              <w:rPr>
                <w:rStyle w:val="Lienhypertexte"/>
                <w:rFonts w:cstheme="minorHAnsi"/>
              </w:rPr>
              <w:t>Comparaison des offres pour sélection de l’offre économiquement la plus avantageuse</w:t>
            </w:r>
            <w:r w:rsidR="00EC39A8">
              <w:tab/>
            </w:r>
            <w:r w:rsidR="00EC39A8">
              <w:fldChar w:fldCharType="begin"/>
            </w:r>
            <w:r w:rsidR="00EC39A8">
              <w:instrText xml:space="preserve"> PAGEREF _Toc193931857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8" w:tooltip="#_Toc193931858" w:history="1">
            <w:r w:rsidR="00EC39A8">
              <w:rPr>
                <w:rStyle w:val="Lienhypertexte"/>
                <w:rFonts w:cstheme="minorHAnsi"/>
                <w:i/>
              </w:rPr>
              <w:t>Critère 1 : prix des prestations</w:t>
            </w:r>
            <w:r w:rsidR="00EC39A8">
              <w:tab/>
            </w:r>
            <w:r w:rsidR="00EC39A8">
              <w:fldChar w:fldCharType="begin"/>
            </w:r>
            <w:r w:rsidR="00EC39A8">
              <w:instrText xml:space="preserve"> PAGEREF _Toc193931858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59" w:tooltip="#_Toc193931859" w:history="1">
            <w:r w:rsidR="00EC39A8">
              <w:rPr>
                <w:rStyle w:val="Lienhypertexte"/>
                <w:rFonts w:cstheme="minorHAnsi"/>
                <w:i/>
              </w:rPr>
              <w:t>Critère 2 : Qualité technique</w:t>
            </w:r>
            <w:r w:rsidR="00EC39A8">
              <w:tab/>
            </w:r>
            <w:r w:rsidR="00EC39A8">
              <w:fldChar w:fldCharType="begin"/>
            </w:r>
            <w:r w:rsidR="00EC39A8">
              <w:instrText xml:space="preserve"> PAGEREF _Toc193931859 \h </w:instrText>
            </w:r>
            <w:r w:rsidR="00EC39A8">
              <w:fldChar w:fldCharType="separate"/>
            </w:r>
            <w:r w:rsidR="00EC39A8">
              <w:t>11</w:t>
            </w:r>
            <w:r w:rsidR="00EC39A8">
              <w:fldChar w:fldCharType="end"/>
            </w:r>
          </w:hyperlink>
        </w:p>
        <w:p w:rsidR="00EC39A8" w:rsidRDefault="00260D0B">
          <w:pPr>
            <w:pStyle w:val="TM2"/>
            <w:rPr>
              <w:sz w:val="24"/>
              <w:szCs w:val="24"/>
              <w14:ligatures w14:val="standardContextual"/>
            </w:rPr>
          </w:pPr>
          <w:hyperlink w:anchor="_Toc193931860" w:tooltip="#_Toc193931860" w:history="1">
            <w:r w:rsidR="00EC39A8">
              <w:rPr>
                <w:rStyle w:val="Lienhypertexte"/>
                <w:rFonts w:cstheme="minorHAnsi"/>
              </w:rPr>
              <w:t>Négociations</w:t>
            </w:r>
            <w:r w:rsidR="00EC39A8">
              <w:tab/>
            </w:r>
            <w:r w:rsidR="00EC39A8">
              <w:fldChar w:fldCharType="begin"/>
            </w:r>
            <w:r w:rsidR="00EC39A8">
              <w:instrText xml:space="preserve"> PAGEREF _Toc193931860 \h </w:instrText>
            </w:r>
            <w:r w:rsidR="00EC39A8">
              <w:fldChar w:fldCharType="separate"/>
            </w:r>
            <w:r w:rsidR="00EC39A8">
              <w:t>12</w:t>
            </w:r>
            <w:r w:rsidR="00EC39A8">
              <w:fldChar w:fldCharType="end"/>
            </w:r>
          </w:hyperlink>
        </w:p>
        <w:p w:rsidR="00EC39A8" w:rsidRDefault="00260D0B">
          <w:pPr>
            <w:pStyle w:val="TM2"/>
            <w:rPr>
              <w:sz w:val="24"/>
              <w:szCs w:val="24"/>
              <w14:ligatures w14:val="standardContextual"/>
            </w:rPr>
          </w:pPr>
          <w:hyperlink w:anchor="_Toc193931861" w:tooltip="#_Toc193931861" w:history="1">
            <w:r w:rsidR="00EC39A8">
              <w:rPr>
                <w:rStyle w:val="Lienhypertexte"/>
                <w:rFonts w:cstheme="minorHAnsi"/>
              </w:rPr>
              <w:t>Attribution</w:t>
            </w:r>
            <w:r w:rsidR="00EC39A8">
              <w:tab/>
            </w:r>
            <w:r w:rsidR="00EC39A8">
              <w:fldChar w:fldCharType="begin"/>
            </w:r>
            <w:r w:rsidR="00EC39A8">
              <w:instrText xml:space="preserve"> PAGEREF _Toc193931861 \h </w:instrText>
            </w:r>
            <w:r w:rsidR="00EC39A8">
              <w:fldChar w:fldCharType="separate"/>
            </w:r>
            <w:r w:rsidR="00EC39A8">
              <w:t>12</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62" w:tooltip="#_Toc193931862" w:history="1">
            <w:r w:rsidR="00EC39A8">
              <w:rPr>
                <w:rStyle w:val="Lienhypertexte"/>
                <w:rFonts w:cstheme="minorHAnsi"/>
                <w:b/>
                <w:caps/>
              </w:rPr>
              <w:t>ARTICLE 7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Traitement des données à caractère personnel dans le cadre de la présente consultation et pour le suivi d’exécution du contrat</w:t>
            </w:r>
            <w:r w:rsidR="00EC39A8">
              <w:tab/>
            </w:r>
            <w:r w:rsidR="00EC39A8">
              <w:fldChar w:fldCharType="begin"/>
            </w:r>
            <w:r w:rsidR="00EC39A8">
              <w:instrText xml:space="preserve"> PAGEREF _Toc193931862 \h </w:instrText>
            </w:r>
            <w:r w:rsidR="00EC39A8">
              <w:fldChar w:fldCharType="separate"/>
            </w:r>
            <w:r w:rsidR="00EC39A8">
              <w:t>12</w:t>
            </w:r>
            <w:r w:rsidR="00EC39A8">
              <w:fldChar w:fldCharType="end"/>
            </w:r>
          </w:hyperlink>
        </w:p>
        <w:p w:rsidR="00EC39A8" w:rsidRDefault="00260D0B">
          <w:pPr>
            <w:pStyle w:val="TM2"/>
            <w:rPr>
              <w:sz w:val="24"/>
              <w:szCs w:val="24"/>
              <w14:ligatures w14:val="standardContextual"/>
            </w:rPr>
          </w:pPr>
          <w:hyperlink w:anchor="_Toc193931863" w:tooltip="#_Toc193931863" w:history="1">
            <w:r w:rsidR="00EC39A8">
              <w:rPr>
                <w:rStyle w:val="Lienhypertexte"/>
                <w:rFonts w:cstheme="minorHAnsi"/>
              </w:rPr>
              <w:t>Identité et coordonnées du responsable de traitement et de son représentant :</w:t>
            </w:r>
            <w:r w:rsidR="00EC39A8">
              <w:tab/>
            </w:r>
            <w:r w:rsidR="00EC39A8">
              <w:fldChar w:fldCharType="begin"/>
            </w:r>
            <w:r w:rsidR="00EC39A8">
              <w:instrText xml:space="preserve"> PAGEREF _Toc193931863 \h </w:instrText>
            </w:r>
            <w:r w:rsidR="00EC39A8">
              <w:fldChar w:fldCharType="separate"/>
            </w:r>
            <w:r w:rsidR="00EC39A8">
              <w:t>13</w:t>
            </w:r>
            <w:r w:rsidR="00EC39A8">
              <w:fldChar w:fldCharType="end"/>
            </w:r>
          </w:hyperlink>
        </w:p>
        <w:p w:rsidR="00EC39A8" w:rsidRDefault="00260D0B">
          <w:pPr>
            <w:pStyle w:val="TM2"/>
            <w:rPr>
              <w:sz w:val="24"/>
              <w:szCs w:val="24"/>
              <w14:ligatures w14:val="standardContextual"/>
            </w:rPr>
          </w:pPr>
          <w:hyperlink w:anchor="_Toc193931864" w:tooltip="#_Toc193931864" w:history="1">
            <w:r w:rsidR="00EC39A8">
              <w:rPr>
                <w:rStyle w:val="Lienhypertexte"/>
                <w:rFonts w:cstheme="minorHAnsi"/>
              </w:rPr>
              <w:t>Pour la plateforme PLACE :</w:t>
            </w:r>
            <w:r w:rsidR="00EC39A8">
              <w:tab/>
            </w:r>
            <w:r w:rsidR="00EC39A8">
              <w:fldChar w:fldCharType="begin"/>
            </w:r>
            <w:r w:rsidR="00EC39A8">
              <w:instrText xml:space="preserve"> PAGEREF _Toc193931864 \h </w:instrText>
            </w:r>
            <w:r w:rsidR="00EC39A8">
              <w:fldChar w:fldCharType="separate"/>
            </w:r>
            <w:r w:rsidR="00EC39A8">
              <w:t>13</w:t>
            </w:r>
            <w:r w:rsidR="00EC39A8">
              <w:fldChar w:fldCharType="end"/>
            </w:r>
          </w:hyperlink>
        </w:p>
        <w:p w:rsidR="00EC39A8" w:rsidRDefault="00260D0B">
          <w:pPr>
            <w:pStyle w:val="TM2"/>
            <w:rPr>
              <w:sz w:val="24"/>
              <w:szCs w:val="24"/>
              <w14:ligatures w14:val="standardContextual"/>
            </w:rPr>
          </w:pPr>
          <w:hyperlink w:anchor="_Toc193931865" w:tooltip="#_Toc193931865" w:history="1">
            <w:r w:rsidR="00EC39A8">
              <w:rPr>
                <w:rStyle w:val="Lienhypertexte"/>
                <w:rFonts w:cstheme="minorHAnsi"/>
              </w:rPr>
              <w:t>Coordonnées du délégué à la protection des données personnelles :</w:t>
            </w:r>
            <w:r w:rsidR="00EC39A8">
              <w:tab/>
            </w:r>
            <w:r w:rsidR="00EC39A8">
              <w:fldChar w:fldCharType="begin"/>
            </w:r>
            <w:r w:rsidR="00EC39A8">
              <w:instrText xml:space="preserve"> PAGEREF _Toc193931865 \h </w:instrText>
            </w:r>
            <w:r w:rsidR="00EC39A8">
              <w:fldChar w:fldCharType="separate"/>
            </w:r>
            <w:r w:rsidR="00EC39A8">
              <w:t>13</w:t>
            </w:r>
            <w:r w:rsidR="00EC39A8">
              <w:fldChar w:fldCharType="end"/>
            </w:r>
          </w:hyperlink>
        </w:p>
        <w:p w:rsidR="00EC39A8" w:rsidRDefault="00260D0B">
          <w:pPr>
            <w:pStyle w:val="TM2"/>
            <w:rPr>
              <w:sz w:val="24"/>
              <w:szCs w:val="24"/>
              <w14:ligatures w14:val="standardContextual"/>
            </w:rPr>
          </w:pPr>
          <w:hyperlink w:anchor="_Toc193931866" w:tooltip="#_Toc193931866" w:history="1">
            <w:r w:rsidR="00EC39A8">
              <w:rPr>
                <w:rStyle w:val="Lienhypertexte"/>
                <w:rFonts w:cstheme="minorHAnsi"/>
              </w:rPr>
              <w:t>Pour l’autorité contractante :</w:t>
            </w:r>
            <w:r w:rsidR="00EC39A8">
              <w:tab/>
            </w:r>
            <w:r w:rsidR="00EC39A8">
              <w:fldChar w:fldCharType="begin"/>
            </w:r>
            <w:r w:rsidR="00EC39A8">
              <w:instrText xml:space="preserve"> PAGEREF _Toc193931866 \h </w:instrText>
            </w:r>
            <w:r w:rsidR="00EC39A8">
              <w:fldChar w:fldCharType="separate"/>
            </w:r>
            <w:r w:rsidR="00EC39A8">
              <w:t>13</w:t>
            </w:r>
            <w:r w:rsidR="00EC39A8">
              <w:fldChar w:fldCharType="end"/>
            </w:r>
          </w:hyperlink>
        </w:p>
        <w:p w:rsidR="00EC39A8" w:rsidRDefault="00260D0B">
          <w:pPr>
            <w:pStyle w:val="TM2"/>
            <w:rPr>
              <w:sz w:val="24"/>
              <w:szCs w:val="24"/>
              <w14:ligatures w14:val="standardContextual"/>
            </w:rPr>
          </w:pPr>
          <w:hyperlink w:anchor="_Toc193931867" w:tooltip="#_Toc193931867" w:history="1">
            <w:r w:rsidR="00EC39A8">
              <w:rPr>
                <w:rStyle w:val="Lienhypertexte"/>
                <w:rFonts w:cstheme="minorHAnsi"/>
              </w:rPr>
              <w:t>Coordonnées du délégué à la protection des données personnelles :</w:t>
            </w:r>
            <w:r w:rsidR="00EC39A8">
              <w:tab/>
            </w:r>
            <w:r w:rsidR="00EC39A8">
              <w:fldChar w:fldCharType="begin"/>
            </w:r>
            <w:r w:rsidR="00EC39A8">
              <w:instrText xml:space="preserve"> PAGEREF _Toc193931867 \h </w:instrText>
            </w:r>
            <w:r w:rsidR="00EC39A8">
              <w:fldChar w:fldCharType="separate"/>
            </w:r>
            <w:r w:rsidR="00EC39A8">
              <w:t>13</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68" w:tooltip="#_Toc193931868" w:history="1">
            <w:r w:rsidR="00EC39A8">
              <w:rPr>
                <w:rStyle w:val="Lienhypertexte"/>
                <w:rFonts w:cstheme="minorHAnsi"/>
                <w:b/>
                <w:caps/>
              </w:rPr>
              <w:t>ARTICLE 8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AUTRES RENSEIGNEMENTS</w:t>
            </w:r>
            <w:r w:rsidR="00EC39A8">
              <w:tab/>
            </w:r>
            <w:r w:rsidR="00EC39A8">
              <w:fldChar w:fldCharType="begin"/>
            </w:r>
            <w:r w:rsidR="00EC39A8">
              <w:instrText xml:space="preserve"> PAGEREF _Toc193931868 \h </w:instrText>
            </w:r>
            <w:r w:rsidR="00EC39A8">
              <w:fldChar w:fldCharType="separate"/>
            </w:r>
            <w:r w:rsidR="00EC39A8">
              <w:t>14</w:t>
            </w:r>
            <w:r w:rsidR="00EC39A8">
              <w:fldChar w:fldCharType="end"/>
            </w:r>
          </w:hyperlink>
        </w:p>
        <w:p w:rsidR="00EC39A8" w:rsidRDefault="00260D0B">
          <w:pPr>
            <w:pStyle w:val="TM1"/>
            <w:tabs>
              <w:tab w:val="left" w:pos="1440"/>
              <w:tab w:val="right" w:leader="dot" w:pos="9329"/>
            </w:tabs>
            <w:rPr>
              <w:rFonts w:asciiTheme="minorHAnsi" w:eastAsiaTheme="minorEastAsia" w:hAnsiTheme="minorHAnsi" w:cstheme="minorBidi"/>
              <w:sz w:val="24"/>
              <w:szCs w:val="24"/>
              <w14:ligatures w14:val="standardContextual"/>
            </w:rPr>
          </w:pPr>
          <w:hyperlink w:anchor="_Toc193931869" w:tooltip="#_Toc193931869" w:history="1">
            <w:r w:rsidR="00EC39A8">
              <w:rPr>
                <w:rStyle w:val="Lienhypertexte"/>
                <w:rFonts w:cstheme="minorHAnsi"/>
                <w:b/>
                <w:caps/>
              </w:rPr>
              <w:t>ARTICLE 9 :</w:t>
            </w:r>
            <w:r w:rsidR="00EC39A8">
              <w:rPr>
                <w:rFonts w:asciiTheme="minorHAnsi" w:eastAsiaTheme="minorEastAsia" w:hAnsiTheme="minorHAnsi" w:cstheme="minorBidi"/>
                <w:sz w:val="24"/>
                <w:szCs w:val="24"/>
                <w14:ligatures w14:val="standardContextual"/>
              </w:rPr>
              <w:tab/>
            </w:r>
            <w:r w:rsidR="00EC39A8">
              <w:rPr>
                <w:rStyle w:val="Lienhypertexte"/>
                <w:rFonts w:cstheme="minorHAnsi"/>
                <w:b/>
                <w:caps/>
              </w:rPr>
              <w:t>Voies et délais de recours</w:t>
            </w:r>
            <w:r w:rsidR="00EC39A8">
              <w:tab/>
            </w:r>
            <w:r w:rsidR="00EC39A8">
              <w:fldChar w:fldCharType="begin"/>
            </w:r>
            <w:r w:rsidR="00EC39A8">
              <w:instrText xml:space="preserve"> PAGEREF _Toc193931869 \h </w:instrText>
            </w:r>
            <w:r w:rsidR="00EC39A8">
              <w:fldChar w:fldCharType="separate"/>
            </w:r>
            <w:r w:rsidR="00EC39A8">
              <w:t>14</w:t>
            </w:r>
            <w:r w:rsidR="00EC39A8">
              <w:fldChar w:fldCharType="end"/>
            </w:r>
          </w:hyperlink>
        </w:p>
        <w:p w:rsidR="00EC39A8" w:rsidRDefault="00E95C89">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rsidR="00EC39A8" w:rsidRDefault="00EC39A8">
      <w:pPr>
        <w:widowControl w:val="0"/>
        <w:jc w:val="right"/>
        <w:rPr>
          <w:rFonts w:asciiTheme="minorHAnsi" w:hAnsiTheme="minorHAnsi" w:cstheme="minorHAnsi"/>
          <w:b/>
          <w:sz w:val="22"/>
          <w:szCs w:val="22"/>
        </w:rPr>
        <w:sectPr w:rsidR="00EC39A8">
          <w:headerReference w:type="even" r:id="rId8"/>
          <w:headerReference w:type="default" r:id="rId9"/>
          <w:footerReference w:type="even" r:id="rId10"/>
          <w:footerReference w:type="default" r:id="rId11"/>
          <w:headerReference w:type="first" r:id="rId12"/>
          <w:footerReference w:type="first" r:id="rId13"/>
          <w:pgSz w:w="11906" w:h="16838"/>
          <w:pgMar w:top="902" w:right="1416" w:bottom="1616" w:left="1151" w:header="431" w:footer="567" w:gutter="0"/>
          <w:cols w:space="708"/>
          <w:titlePg/>
        </w:sectPr>
      </w:pP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2" w:name="_Toc193931817"/>
      <w:r>
        <w:rPr>
          <w:rFonts w:asciiTheme="minorHAnsi" w:hAnsiTheme="minorHAnsi" w:cstheme="minorHAnsi"/>
          <w:b/>
          <w:caps/>
          <w:sz w:val="28"/>
          <w:szCs w:val="22"/>
          <w:u w:val="single"/>
        </w:rPr>
        <w:lastRenderedPageBreak/>
        <w:t>Objet et étendue de la consultation</w:t>
      </w:r>
      <w:bookmarkEnd w:id="2"/>
    </w:p>
    <w:p w:rsidR="00EC39A8" w:rsidRDefault="00E95C89">
      <w:pPr>
        <w:pStyle w:val="Titre2"/>
        <w:spacing w:before="120" w:after="120" w:line="240" w:lineRule="auto"/>
        <w:jc w:val="both"/>
        <w:rPr>
          <w:rFonts w:asciiTheme="minorHAnsi" w:hAnsiTheme="minorHAnsi" w:cstheme="minorHAnsi"/>
          <w:sz w:val="22"/>
          <w:szCs w:val="22"/>
          <w:u w:val="single"/>
        </w:rPr>
      </w:pPr>
      <w:bookmarkStart w:id="3" w:name="_Toc417653412"/>
      <w:bookmarkStart w:id="4" w:name="_Toc419212425"/>
      <w:bookmarkStart w:id="5" w:name="_Toc443657762"/>
      <w:bookmarkStart w:id="6" w:name="_Toc446628681"/>
      <w:bookmarkStart w:id="7" w:name="_Toc452049137"/>
      <w:bookmarkStart w:id="8" w:name="_Toc455587875"/>
      <w:bookmarkStart w:id="9" w:name="_Toc455679200"/>
      <w:bookmarkStart w:id="10" w:name="_Toc455768059"/>
      <w:bookmarkStart w:id="11" w:name="_Toc193931818"/>
      <w:r>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rsidR="00EC39A8" w:rsidRDefault="00E95C89">
      <w:pPr>
        <w:pStyle w:val="u"/>
        <w:spacing w:before="120"/>
        <w:ind w:left="0"/>
        <w:rPr>
          <w:rFonts w:asciiTheme="minorHAnsi" w:hAnsiTheme="minorHAnsi" w:cstheme="minorHAnsi"/>
          <w:szCs w:val="22"/>
        </w:rPr>
      </w:pPr>
      <w:r>
        <w:rPr>
          <w:rFonts w:asciiTheme="minorHAnsi" w:hAnsiTheme="minorHAnsi" w:cstheme="minorHAnsi"/>
          <w:szCs w:val="22"/>
        </w:rPr>
        <w:t>La consultation porte sur la passation d’un contrat de fournitures ayant pour objet « </w:t>
      </w:r>
      <w:r>
        <w:rPr>
          <w:rFonts w:asciiTheme="minorHAnsi" w:hAnsiTheme="minorHAnsi" w:cstheme="minorHAnsi"/>
          <w:i/>
          <w:szCs w:val="22"/>
        </w:rPr>
        <w:t>Fourniture, installation de cabines multi-usage et équipement pour des sites d’échouage »</w:t>
      </w:r>
      <w:r>
        <w:rPr>
          <w:rFonts w:asciiTheme="minorHAnsi" w:hAnsiTheme="minorHAnsi" w:cstheme="minorHAnsi"/>
          <w:szCs w:val="22"/>
        </w:rPr>
        <w:t>.</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L’étendue des besoins à couvrir sont décrits dans le Cahier de charges.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12" w:name="_Toc193931819"/>
      <w:r>
        <w:rPr>
          <w:rFonts w:asciiTheme="minorHAnsi" w:hAnsiTheme="minorHAnsi" w:cstheme="minorHAnsi"/>
          <w:sz w:val="22"/>
          <w:szCs w:val="22"/>
          <w:u w:val="single"/>
        </w:rPr>
        <w:t>Etendue de la consultation</w:t>
      </w:r>
      <w:bookmarkEnd w:id="12"/>
    </w:p>
    <w:p w:rsidR="00EC39A8" w:rsidRDefault="00E95C89">
      <w:pPr>
        <w:pStyle w:val="u"/>
        <w:spacing w:before="120"/>
        <w:ind w:left="0"/>
        <w:rPr>
          <w:rFonts w:asciiTheme="minorHAnsi" w:hAnsiTheme="minorHAnsi" w:cstheme="minorHAnsi"/>
          <w:szCs w:val="22"/>
        </w:rPr>
      </w:pPr>
      <w:r>
        <w:rPr>
          <w:rFonts w:asciiTheme="minorHAnsi" w:hAnsiTheme="minorHAnsi" w:cstheme="minorHAnsi"/>
          <w:szCs w:val="22"/>
        </w:rPr>
        <w:t>Le présent contrat est soumis au Code de la commande publique (CCP)</w:t>
      </w:r>
      <w:r>
        <w:rPr>
          <w:rFonts w:asciiTheme="minorHAnsi" w:hAnsiTheme="minorHAnsi" w:cstheme="minorHAnsi"/>
        </w:rPr>
        <w:t xml:space="preserve"> </w:t>
      </w:r>
      <w:r>
        <w:rPr>
          <w:rFonts w:asciiTheme="minorHAnsi" w:hAnsiTheme="minorHAnsi" w:cstheme="minorHAnsi"/>
          <w:szCs w:val="22"/>
        </w:rPr>
        <w:t xml:space="preserve">dans sa version en vigueur issue de l'ordonnance n° 2018-1074 du 26 novembre 2018 portant partie législative et du décret n° 2018-1075 du 3 décembre 2018 portant partie réglementaire du Code de la commande publique. </w:t>
      </w:r>
    </w:p>
    <w:p w:rsidR="00EC39A8" w:rsidRDefault="00E95C89">
      <w:pPr>
        <w:pStyle w:val="u"/>
        <w:spacing w:before="120"/>
        <w:ind w:left="0"/>
        <w:rPr>
          <w:rFonts w:asciiTheme="minorHAnsi" w:hAnsiTheme="minorHAnsi" w:cstheme="minorHAnsi"/>
          <w:szCs w:val="22"/>
          <w:highlight w:val="yellow"/>
        </w:rPr>
      </w:pPr>
      <w:r>
        <w:rPr>
          <w:rFonts w:asciiTheme="minorHAnsi" w:hAnsiTheme="minorHAnsi" w:cstheme="minorHAnsi"/>
          <w:szCs w:val="22"/>
        </w:rPr>
        <w:t>Il est passé par Appel d’offres ouvert en application des articles L.1111-3 L. 2124-2, R. 2161-2, R. 2161-3, R. 2161-4 et R. 2161-5 du CCP</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13" w:name="_Toc193931820"/>
      <w:r>
        <w:rPr>
          <w:rFonts w:asciiTheme="minorHAnsi" w:hAnsiTheme="minorHAnsi" w:cstheme="minorHAnsi"/>
          <w:sz w:val="22"/>
          <w:szCs w:val="22"/>
          <w:u w:val="single"/>
        </w:rPr>
        <w:t>Calendrier prévisionnel de la consultation</w:t>
      </w:r>
      <w:bookmarkEnd w:id="13"/>
      <w:r>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696"/>
        <w:gridCol w:w="6237"/>
      </w:tblGrid>
      <w:tr w:rsidR="00EC39A8">
        <w:tc>
          <w:tcPr>
            <w:tcW w:w="1696"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center"/>
              <w:rPr>
                <w:rFonts w:asciiTheme="minorHAnsi" w:hAnsiTheme="minorHAnsi" w:cstheme="minorHAnsi"/>
                <w:b/>
                <w:sz w:val="22"/>
                <w:szCs w:val="22"/>
              </w:rPr>
            </w:pPr>
            <w:r>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both"/>
              <w:rPr>
                <w:rFonts w:asciiTheme="minorHAnsi" w:hAnsiTheme="minorHAnsi" w:cstheme="minorHAnsi"/>
                <w:b/>
                <w:sz w:val="22"/>
                <w:szCs w:val="22"/>
              </w:rPr>
            </w:pPr>
            <w:r>
              <w:rPr>
                <w:rFonts w:asciiTheme="minorHAnsi" w:hAnsiTheme="minorHAnsi" w:cstheme="minorHAnsi"/>
                <w:b/>
                <w:sz w:val="22"/>
                <w:szCs w:val="22"/>
              </w:rPr>
              <w:t>Etape</w:t>
            </w:r>
          </w:p>
        </w:tc>
      </w:tr>
      <w:tr w:rsidR="00EC39A8">
        <w:tc>
          <w:tcPr>
            <w:tcW w:w="1696" w:type="dxa"/>
            <w:tcBorders>
              <w:top w:val="single" w:sz="4" w:space="0" w:color="auto"/>
              <w:left w:val="single" w:sz="4" w:space="0" w:color="auto"/>
              <w:bottom w:val="single" w:sz="4" w:space="0" w:color="auto"/>
              <w:right w:val="single" w:sz="4" w:space="0" w:color="auto"/>
            </w:tcBorders>
          </w:tcPr>
          <w:p w:rsidR="00EC39A8" w:rsidRDefault="00F55588">
            <w:pPr>
              <w:spacing w:line="240" w:lineRule="auto"/>
              <w:jc w:val="center"/>
              <w:rPr>
                <w:rFonts w:asciiTheme="minorHAnsi" w:hAnsiTheme="minorHAnsi" w:cstheme="minorHAnsi"/>
                <w:sz w:val="22"/>
                <w:szCs w:val="22"/>
              </w:rPr>
            </w:pPr>
            <w:r>
              <w:rPr>
                <w:rFonts w:asciiTheme="minorHAnsi" w:hAnsiTheme="minorHAnsi" w:cstheme="minorHAnsi"/>
                <w:sz w:val="22"/>
                <w:szCs w:val="22"/>
              </w:rPr>
              <w:t>07</w:t>
            </w:r>
            <w:r w:rsidR="00C92980">
              <w:rPr>
                <w:rFonts w:asciiTheme="minorHAnsi" w:hAnsiTheme="minorHAnsi" w:cstheme="minorHAnsi"/>
                <w:sz w:val="22"/>
                <w:szCs w:val="22"/>
              </w:rPr>
              <w:t>/0</w:t>
            </w:r>
            <w:r>
              <w:rPr>
                <w:rFonts w:asciiTheme="minorHAnsi" w:hAnsiTheme="minorHAnsi" w:cstheme="minorHAnsi"/>
                <w:sz w:val="22"/>
                <w:szCs w:val="22"/>
              </w:rPr>
              <w:t>4</w:t>
            </w:r>
            <w:r w:rsidR="00C92980">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Date limite de réception des offres</w:t>
            </w:r>
          </w:p>
        </w:tc>
      </w:tr>
      <w:tr w:rsidR="00EC39A8">
        <w:tc>
          <w:tcPr>
            <w:tcW w:w="1696" w:type="dxa"/>
            <w:tcBorders>
              <w:top w:val="single" w:sz="4" w:space="0" w:color="auto"/>
              <w:left w:val="single" w:sz="4" w:space="0" w:color="auto"/>
              <w:bottom w:val="single" w:sz="4" w:space="0" w:color="auto"/>
              <w:right w:val="single" w:sz="4" w:space="0" w:color="auto"/>
            </w:tcBorders>
          </w:tcPr>
          <w:p w:rsidR="00EC39A8" w:rsidRDefault="00F55588">
            <w:pPr>
              <w:spacing w:line="240" w:lineRule="auto"/>
              <w:jc w:val="center"/>
              <w:rPr>
                <w:rFonts w:asciiTheme="minorHAnsi" w:hAnsiTheme="minorHAnsi" w:cstheme="minorHAnsi"/>
                <w:sz w:val="22"/>
                <w:szCs w:val="22"/>
              </w:rPr>
            </w:pPr>
            <w:r>
              <w:rPr>
                <w:rFonts w:asciiTheme="minorHAnsi" w:hAnsiTheme="minorHAnsi" w:cstheme="minorHAnsi"/>
                <w:sz w:val="22"/>
                <w:szCs w:val="22"/>
              </w:rPr>
              <w:t>09</w:t>
            </w:r>
            <w:r w:rsidR="00C92980">
              <w:rPr>
                <w:rFonts w:asciiTheme="minorHAnsi" w:hAnsiTheme="minorHAnsi" w:cstheme="minorHAnsi"/>
                <w:sz w:val="22"/>
                <w:szCs w:val="22"/>
              </w:rPr>
              <w:t>/04/2026</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Audition / Demandes de précisions et clarifications des offres </w:t>
            </w:r>
          </w:p>
        </w:tc>
      </w:tr>
      <w:tr w:rsidR="00EC39A8">
        <w:tc>
          <w:tcPr>
            <w:tcW w:w="1696" w:type="dxa"/>
            <w:tcBorders>
              <w:top w:val="single" w:sz="4" w:space="0" w:color="auto"/>
              <w:left w:val="single" w:sz="4" w:space="0" w:color="auto"/>
              <w:bottom w:val="single" w:sz="4" w:space="0" w:color="auto"/>
              <w:right w:val="single" w:sz="4" w:space="0" w:color="auto"/>
            </w:tcBorders>
          </w:tcPr>
          <w:p w:rsidR="00EC39A8" w:rsidRDefault="00F55588">
            <w:pPr>
              <w:spacing w:line="240" w:lineRule="auto"/>
              <w:jc w:val="center"/>
              <w:rPr>
                <w:rFonts w:asciiTheme="minorHAnsi" w:hAnsiTheme="minorHAnsi" w:cstheme="minorHAnsi"/>
                <w:sz w:val="22"/>
                <w:szCs w:val="22"/>
              </w:rPr>
            </w:pPr>
            <w:r>
              <w:rPr>
                <w:rFonts w:asciiTheme="minorHAnsi" w:hAnsiTheme="minorHAnsi" w:cstheme="minorHAnsi"/>
                <w:sz w:val="22"/>
                <w:szCs w:val="22"/>
              </w:rPr>
              <w:t>13</w:t>
            </w:r>
            <w:r w:rsidR="00C92980">
              <w:rPr>
                <w:rFonts w:asciiTheme="minorHAnsi" w:hAnsiTheme="minorHAnsi" w:cstheme="minorHAnsi"/>
                <w:sz w:val="22"/>
                <w:szCs w:val="22"/>
              </w:rPr>
              <w:t>/04/2026</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Date limite de réception des offres optimisées</w:t>
            </w:r>
          </w:p>
        </w:tc>
      </w:tr>
      <w:tr w:rsidR="00EC39A8">
        <w:tc>
          <w:tcPr>
            <w:tcW w:w="1696" w:type="dxa"/>
            <w:tcBorders>
              <w:top w:val="single" w:sz="4" w:space="0" w:color="auto"/>
              <w:left w:val="single" w:sz="4" w:space="0" w:color="auto"/>
              <w:bottom w:val="single" w:sz="4" w:space="0" w:color="auto"/>
              <w:right w:val="single" w:sz="4" w:space="0" w:color="auto"/>
            </w:tcBorders>
          </w:tcPr>
          <w:p w:rsidR="00EC39A8" w:rsidRDefault="00F55588">
            <w:pPr>
              <w:spacing w:line="240" w:lineRule="auto"/>
              <w:jc w:val="center"/>
              <w:rPr>
                <w:rFonts w:asciiTheme="minorHAnsi" w:hAnsiTheme="minorHAnsi" w:cstheme="minorHAnsi"/>
                <w:sz w:val="22"/>
                <w:szCs w:val="22"/>
              </w:rPr>
            </w:pPr>
            <w:r>
              <w:rPr>
                <w:rFonts w:asciiTheme="minorHAnsi" w:hAnsiTheme="minorHAnsi" w:cstheme="minorHAnsi"/>
                <w:sz w:val="22"/>
                <w:szCs w:val="22"/>
              </w:rPr>
              <w:t>17</w:t>
            </w:r>
            <w:r w:rsidR="00C92980">
              <w:rPr>
                <w:rFonts w:asciiTheme="minorHAnsi" w:hAnsiTheme="minorHAnsi" w:cstheme="minorHAnsi"/>
                <w:sz w:val="22"/>
                <w:szCs w:val="22"/>
              </w:rPr>
              <w:t>/04/2026</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rPr>
                <w:rFonts w:asciiTheme="minorHAnsi" w:hAnsiTheme="minorHAnsi" w:cstheme="minorHAnsi"/>
                <w:sz w:val="22"/>
                <w:szCs w:val="22"/>
              </w:rPr>
            </w:pPr>
            <w:r>
              <w:rPr>
                <w:rFonts w:asciiTheme="minorHAnsi" w:hAnsiTheme="minorHAnsi" w:cstheme="minorHAnsi"/>
                <w:sz w:val="22"/>
                <w:szCs w:val="22"/>
              </w:rPr>
              <w:t>Envoi des courriers de rejet aux candidats non retenus</w:t>
            </w:r>
          </w:p>
        </w:tc>
      </w:tr>
      <w:tr w:rsidR="00EC39A8">
        <w:tc>
          <w:tcPr>
            <w:tcW w:w="1696" w:type="dxa"/>
            <w:tcBorders>
              <w:top w:val="single" w:sz="4" w:space="0" w:color="auto"/>
              <w:left w:val="single" w:sz="4" w:space="0" w:color="auto"/>
              <w:bottom w:val="single" w:sz="4" w:space="0" w:color="auto"/>
              <w:right w:val="single" w:sz="4" w:space="0" w:color="auto"/>
            </w:tcBorders>
          </w:tcPr>
          <w:p w:rsidR="00EC39A8" w:rsidRDefault="00F55588">
            <w:pPr>
              <w:spacing w:line="240" w:lineRule="auto"/>
              <w:jc w:val="center"/>
              <w:rPr>
                <w:rFonts w:asciiTheme="minorHAnsi" w:hAnsiTheme="minorHAnsi" w:cstheme="minorHAnsi"/>
                <w:sz w:val="22"/>
                <w:szCs w:val="22"/>
              </w:rPr>
            </w:pPr>
            <w:r>
              <w:rPr>
                <w:rFonts w:asciiTheme="minorHAnsi" w:hAnsiTheme="minorHAnsi" w:cstheme="minorHAnsi"/>
                <w:sz w:val="22"/>
                <w:szCs w:val="22"/>
              </w:rPr>
              <w:t>28</w:t>
            </w:r>
            <w:r w:rsidR="00C92980">
              <w:rPr>
                <w:rFonts w:asciiTheme="minorHAnsi" w:hAnsiTheme="minorHAnsi" w:cstheme="minorHAnsi"/>
                <w:sz w:val="22"/>
                <w:szCs w:val="22"/>
              </w:rPr>
              <w:t>/0</w:t>
            </w:r>
            <w:r w:rsidR="00A74784">
              <w:rPr>
                <w:rFonts w:asciiTheme="minorHAnsi" w:hAnsiTheme="minorHAnsi" w:cstheme="minorHAnsi"/>
                <w:sz w:val="22"/>
                <w:szCs w:val="22"/>
              </w:rPr>
              <w:t>4</w:t>
            </w:r>
            <w:r w:rsidR="00C92980">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Notification du marché</w:t>
            </w:r>
          </w:p>
        </w:tc>
      </w:tr>
    </w:tbl>
    <w:p w:rsidR="00EC39A8" w:rsidRDefault="00E95C89">
      <w:pPr>
        <w:pStyle w:val="Titre2"/>
        <w:spacing w:before="120" w:after="120" w:line="240" w:lineRule="auto"/>
        <w:jc w:val="both"/>
        <w:rPr>
          <w:rFonts w:asciiTheme="minorHAnsi" w:hAnsiTheme="minorHAnsi" w:cstheme="minorHAnsi"/>
          <w:sz w:val="22"/>
          <w:szCs w:val="22"/>
          <w:u w:val="single"/>
        </w:rPr>
      </w:pPr>
      <w:bookmarkStart w:id="14" w:name="_Toc193931821"/>
      <w:r>
        <w:rPr>
          <w:rFonts w:asciiTheme="minorHAnsi" w:hAnsiTheme="minorHAnsi" w:cstheme="minorHAnsi"/>
          <w:sz w:val="22"/>
          <w:szCs w:val="22"/>
          <w:u w:val="single"/>
        </w:rPr>
        <w:t>Langue de la consultation – unité monétaire</w:t>
      </w:r>
      <w:bookmarkStart w:id="15" w:name="_GoBack"/>
      <w:bookmarkEnd w:id="14"/>
      <w:bookmarkEnd w:id="15"/>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 xml:space="preserve">L’ensemble des documents de la présente consultation doivent être rédigés en langue française. </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 Pouvoir adjudicateur conclura les marchés dans l’unité monétaire suivante : Dinars algérien (DZD).</w:t>
      </w:r>
    </w:p>
    <w:p w:rsidR="00EC39A8" w:rsidRDefault="00EC39A8">
      <w:pPr>
        <w:spacing w:before="120" w:line="240" w:lineRule="auto"/>
        <w:jc w:val="both"/>
        <w:rPr>
          <w:rFonts w:asciiTheme="minorHAnsi" w:hAnsiTheme="minorHAnsi" w:cstheme="minorHAnsi"/>
          <w:sz w:val="22"/>
          <w:szCs w:val="22"/>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16" w:name="_Toc193931822"/>
      <w:r>
        <w:rPr>
          <w:rFonts w:asciiTheme="minorHAnsi" w:hAnsiTheme="minorHAnsi" w:cstheme="minorHAnsi"/>
          <w:sz w:val="22"/>
          <w:szCs w:val="22"/>
          <w:u w:val="single"/>
        </w:rPr>
        <w:t>Composition du dossier de consultation</w:t>
      </w:r>
      <w:bookmarkEnd w:id="16"/>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 dossier de consultation est composé des documents suivants :</w:t>
      </w: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Le présent Règlement de la consultation (R.C.)</w:t>
      </w:r>
    </w:p>
    <w:p w:rsidR="00EC39A8" w:rsidRDefault="00E95C89">
      <w:pPr>
        <w:pStyle w:val="Paragraphedeliste"/>
        <w:numPr>
          <w:ilvl w:val="0"/>
          <w:numId w:val="7"/>
        </w:numPr>
        <w:spacing w:line="240" w:lineRule="auto"/>
        <w:ind w:left="714" w:hanging="357"/>
        <w:jc w:val="both"/>
        <w:rPr>
          <w:rFonts w:asciiTheme="minorHAnsi" w:hAnsiTheme="minorHAnsi" w:cstheme="minorHAnsi"/>
          <w:szCs w:val="22"/>
        </w:rPr>
      </w:pPr>
      <w:r>
        <w:rPr>
          <w:rFonts w:asciiTheme="minorHAnsi" w:hAnsiTheme="minorHAnsi" w:cstheme="minorHAnsi"/>
          <w:color w:val="000000"/>
          <w:sz w:val="22"/>
          <w:szCs w:val="22"/>
        </w:rPr>
        <w:t>Le projet de contrat (conditions particulières et conditions générales) et ses éventuelles annexes ;</w:t>
      </w:r>
      <w:r>
        <w:rPr>
          <w:rFonts w:asciiTheme="minorHAnsi" w:hAnsiTheme="minorHAnsi" w:cstheme="minorHAnsi"/>
          <w:szCs w:val="22"/>
        </w:rPr>
        <w:t xml:space="preserve"> </w:t>
      </w: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 xml:space="preserve">Le cahier des charges et ses éventuelles annexes ; </w:t>
      </w: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 xml:space="preserve">Le formulaire de candidature comprenant la déclaration sur l'honneur relative aux critères d'exclusion, à l'absence de conflit d'intérêt et la fiche d’identité tiers ; </w:t>
      </w: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 xml:space="preserve">DAJ_GU006_v01 - Guide utilisation PLACE pour les entreprises. </w:t>
      </w:r>
    </w:p>
    <w:p w:rsidR="00EC39A8" w:rsidRDefault="00EC39A8">
      <w:pPr>
        <w:pStyle w:val="v"/>
        <w:widowControl w:val="0"/>
        <w:rPr>
          <w:rFonts w:asciiTheme="minorHAnsi" w:hAnsiTheme="minorHAnsi" w:cstheme="minorHAnsi"/>
          <w:szCs w:val="22"/>
        </w:rPr>
      </w:pPr>
    </w:p>
    <w:p w:rsidR="00EC39A8" w:rsidRDefault="00E95C89">
      <w:pPr>
        <w:pStyle w:val="v"/>
        <w:widowControl w:val="0"/>
        <w:rPr>
          <w:rFonts w:asciiTheme="minorHAnsi" w:hAnsiTheme="minorHAnsi" w:cstheme="minorHAnsi"/>
          <w:szCs w:val="22"/>
        </w:rPr>
      </w:pPr>
      <w:r>
        <w:rPr>
          <w:rFonts w:asciiTheme="minorHAnsi" w:hAnsiTheme="minorHAnsi" w:cstheme="minorHAnsi"/>
          <w:szCs w:val="22"/>
        </w:rPr>
        <w:t>Pièces complémentaires au dossier de consultation :</w:t>
      </w:r>
    </w:p>
    <w:p w:rsidR="00EC39A8" w:rsidRDefault="00EC39A8">
      <w:pPr>
        <w:pStyle w:val="v"/>
        <w:widowControl w:val="0"/>
        <w:rPr>
          <w:rFonts w:asciiTheme="minorHAnsi" w:hAnsiTheme="minorHAnsi" w:cstheme="minorHAnsi"/>
          <w:szCs w:val="22"/>
        </w:rPr>
      </w:pP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 xml:space="preserve">Le cadre de bordereau des prix unitaires ; </w:t>
      </w:r>
    </w:p>
    <w:p w:rsidR="00EC39A8" w:rsidRDefault="00E95C89">
      <w:pPr>
        <w:pStyle w:val="v"/>
        <w:widowControl w:val="0"/>
        <w:numPr>
          <w:ilvl w:val="0"/>
          <w:numId w:val="7"/>
        </w:numPr>
        <w:rPr>
          <w:rFonts w:asciiTheme="minorHAnsi" w:hAnsiTheme="minorHAnsi" w:cstheme="minorHAnsi"/>
          <w:szCs w:val="22"/>
        </w:rPr>
      </w:pPr>
      <w:r>
        <w:rPr>
          <w:rFonts w:asciiTheme="minorHAnsi" w:hAnsiTheme="minorHAnsi" w:cstheme="minorHAnsi"/>
          <w:szCs w:val="22"/>
        </w:rPr>
        <w:t xml:space="preserve">Le cadre de réponse technique </w:t>
      </w:r>
    </w:p>
    <w:p w:rsidR="00EC39A8" w:rsidRDefault="00EC39A8">
      <w:pPr>
        <w:spacing w:line="240" w:lineRule="auto"/>
        <w:rPr>
          <w:rFonts w:asciiTheme="minorHAnsi" w:eastAsia="Times New Roman" w:hAnsiTheme="minorHAnsi" w:cstheme="minorHAnsi"/>
          <w:b/>
          <w:caps/>
          <w:sz w:val="28"/>
          <w:szCs w:val="22"/>
          <w:u w:val="single"/>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17" w:name="_Toc193931823"/>
      <w:r>
        <w:rPr>
          <w:rFonts w:asciiTheme="minorHAnsi" w:hAnsiTheme="minorHAnsi" w:cstheme="minorHAnsi"/>
          <w:sz w:val="22"/>
          <w:szCs w:val="22"/>
          <w:u w:val="single"/>
        </w:rPr>
        <w:t>Modification du dossier de consultation</w:t>
      </w:r>
      <w:bookmarkEnd w:id="17"/>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Des modifications peuvent être apportées aux documents de la consultation au plus tard 6 jours avant la date limite de réception des plis</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Les modifications sont communiquées aux seuls opérateurs économiques dûment identifiés lors du retrait des documents de la consultation.</w:t>
      </w:r>
    </w:p>
    <w:p w:rsidR="00EC39A8" w:rsidRDefault="00EC39A8">
      <w:pPr>
        <w:spacing w:before="120" w:line="240" w:lineRule="auto"/>
        <w:jc w:val="both"/>
        <w:rPr>
          <w:rFonts w:asciiTheme="minorHAnsi" w:hAnsiTheme="minorHAnsi" w:cstheme="minorHAnsi"/>
          <w:sz w:val="22"/>
          <w:szCs w:val="22"/>
        </w:rPr>
      </w:pPr>
    </w:p>
    <w:p w:rsidR="00EC39A8" w:rsidRDefault="00E95C89">
      <w:pPr>
        <w:spacing w:line="240" w:lineRule="auto"/>
        <w:rPr>
          <w:rFonts w:asciiTheme="minorHAnsi" w:hAnsiTheme="minorHAnsi" w:cstheme="minorHAnsi"/>
          <w:b/>
          <w:caps/>
          <w:sz w:val="28"/>
          <w:szCs w:val="22"/>
          <w:u w:val="single"/>
        </w:rPr>
      </w:pPr>
      <w:r>
        <w:rPr>
          <w:rFonts w:asciiTheme="minorHAnsi" w:hAnsiTheme="minorHAnsi" w:cstheme="minorHAnsi"/>
          <w:sz w:val="22"/>
          <w:szCs w:val="22"/>
        </w:rPr>
        <w:t xml:space="preserve">Les candidats/soumissionnaires devront répondre sur la base du dernier dossier modifié. Dans le cas où un candidat/soumissionnaire aurait remis une candidature et/ou une offre avant les modifications, il pourra en </w:t>
      </w:r>
      <w:r>
        <w:rPr>
          <w:rFonts w:asciiTheme="minorHAnsi" w:hAnsiTheme="minorHAnsi" w:cstheme="minorHAnsi"/>
          <w:sz w:val="22"/>
          <w:szCs w:val="22"/>
        </w:rPr>
        <w:lastRenderedPageBreak/>
        <w:t>remettre une nouvelle sur la base du dernier dossier modifié, avant la date et heure limites de réception des plis.</w:t>
      </w: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8" w:name="_Toc193931824"/>
      <w:r>
        <w:rPr>
          <w:rFonts w:asciiTheme="minorHAnsi" w:hAnsiTheme="minorHAnsi" w:cstheme="minorHAnsi"/>
          <w:b/>
          <w:caps/>
          <w:sz w:val="28"/>
          <w:szCs w:val="22"/>
          <w:u w:val="single"/>
        </w:rPr>
        <w:t>Caracteristiques GENERALES du projet de contrat</w:t>
      </w:r>
      <w:bookmarkEnd w:id="18"/>
    </w:p>
    <w:p w:rsidR="00EC39A8" w:rsidRDefault="00E95C89">
      <w:pPr>
        <w:pStyle w:val="Titre2"/>
        <w:spacing w:before="120" w:after="120" w:line="240" w:lineRule="auto"/>
        <w:jc w:val="both"/>
        <w:rPr>
          <w:rFonts w:asciiTheme="minorHAnsi" w:hAnsiTheme="minorHAnsi" w:cstheme="minorHAnsi"/>
          <w:sz w:val="22"/>
          <w:szCs w:val="22"/>
          <w:u w:val="single"/>
        </w:rPr>
      </w:pPr>
      <w:bookmarkStart w:id="19" w:name="_Toc193931825"/>
      <w:bookmarkStart w:id="20" w:name="_Toc452049140"/>
      <w:bookmarkStart w:id="21" w:name="_Toc455587878"/>
      <w:bookmarkStart w:id="22" w:name="_Toc455679203"/>
      <w:bookmarkStart w:id="23" w:name="_Toc455768062"/>
      <w:bookmarkStart w:id="24" w:name="_Toc417653416"/>
      <w:bookmarkStart w:id="25" w:name="_Toc419212432"/>
      <w:bookmarkStart w:id="26" w:name="_Toc443657766"/>
      <w:bookmarkStart w:id="27" w:name="_Toc446628685"/>
      <w:bookmarkStart w:id="28" w:name="_Toc379270787"/>
      <w:r>
        <w:rPr>
          <w:rFonts w:asciiTheme="minorHAnsi" w:hAnsiTheme="minorHAnsi" w:cstheme="minorHAnsi"/>
          <w:sz w:val="22"/>
          <w:szCs w:val="22"/>
          <w:u w:val="single"/>
        </w:rPr>
        <w:t>Forme du contrat</w:t>
      </w:r>
      <w:bookmarkEnd w:id="19"/>
    </w:p>
    <w:p w:rsidR="00EC39A8" w:rsidRDefault="00EC39A8">
      <w:pPr>
        <w:spacing w:line="240" w:lineRule="auto"/>
        <w:rPr>
          <w:rFonts w:asciiTheme="minorHAnsi" w:hAnsiTheme="minorHAnsi" w:cstheme="minorHAnsi"/>
          <w:sz w:val="22"/>
          <w:szCs w:val="22"/>
        </w:rPr>
      </w:pPr>
    </w:p>
    <w:p w:rsidR="00EC39A8" w:rsidRDefault="00E95C89">
      <w:pPr>
        <w:spacing w:line="240" w:lineRule="auto"/>
        <w:rPr>
          <w:rFonts w:asciiTheme="minorHAnsi" w:hAnsiTheme="minorHAnsi" w:cstheme="minorHAnsi"/>
          <w:sz w:val="22"/>
          <w:szCs w:val="22"/>
        </w:rPr>
      </w:pPr>
      <w:r>
        <w:rPr>
          <w:rFonts w:asciiTheme="minorHAnsi" w:hAnsiTheme="minorHAnsi" w:cstheme="minorHAnsi"/>
          <w:sz w:val="22"/>
          <w:szCs w:val="22"/>
        </w:rPr>
        <w:t xml:space="preserve">Le contrat est accord cadre à bons de commande conclu avec un seul attributaire (mono attributaire). </w:t>
      </w:r>
    </w:p>
    <w:p w:rsidR="00EC39A8" w:rsidRDefault="00EC39A8">
      <w:pPr>
        <w:spacing w:line="240" w:lineRule="auto"/>
        <w:rPr>
          <w:rFonts w:asciiTheme="minorHAnsi" w:hAnsiTheme="minorHAnsi" w:cstheme="minorHAnsi"/>
          <w:sz w:val="22"/>
          <w:szCs w:val="22"/>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29" w:name="_Toc193931826"/>
      <w:r>
        <w:rPr>
          <w:rFonts w:asciiTheme="minorHAnsi" w:hAnsiTheme="minorHAnsi" w:cstheme="minorHAnsi"/>
          <w:sz w:val="22"/>
          <w:szCs w:val="22"/>
          <w:u w:val="single"/>
        </w:rPr>
        <w:t>Montant maximal du besoin</w:t>
      </w:r>
      <w:bookmarkEnd w:id="20"/>
      <w:bookmarkEnd w:id="21"/>
      <w:bookmarkEnd w:id="22"/>
      <w:bookmarkEnd w:id="23"/>
      <w:bookmarkEnd w:id="29"/>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Le montant maximal du contrat est fixé à 500 000 € (7</w:t>
      </w:r>
      <w:r w:rsidR="00C92980">
        <w:rPr>
          <w:rFonts w:asciiTheme="minorHAnsi" w:hAnsiTheme="minorHAnsi" w:cstheme="minorHAnsi"/>
          <w:sz w:val="22"/>
          <w:szCs w:val="22"/>
        </w:rPr>
        <w:t>5</w:t>
      </w:r>
      <w:r>
        <w:rPr>
          <w:rFonts w:asciiTheme="minorHAnsi" w:hAnsiTheme="minorHAnsi" w:cstheme="minorHAnsi"/>
          <w:sz w:val="22"/>
          <w:szCs w:val="22"/>
        </w:rPr>
        <w:t> 500 000DZD) maximum</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30" w:name="_Toc193931827"/>
      <w:r>
        <w:rPr>
          <w:rFonts w:asciiTheme="minorHAnsi" w:hAnsiTheme="minorHAnsi" w:cstheme="minorHAnsi"/>
          <w:sz w:val="22"/>
          <w:szCs w:val="22"/>
          <w:u w:val="single"/>
        </w:rPr>
        <w:t>Durée du contrat</w:t>
      </w:r>
      <w:bookmarkEnd w:id="30"/>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La durée prévisionnelle du contrat est fixée à </w:t>
      </w:r>
      <w:r w:rsidR="00C92980">
        <w:rPr>
          <w:rFonts w:asciiTheme="minorHAnsi" w:hAnsiTheme="minorHAnsi" w:cstheme="minorHAnsi"/>
          <w:sz w:val="22"/>
          <w:szCs w:val="22"/>
        </w:rPr>
        <w:t>08</w:t>
      </w:r>
      <w:r>
        <w:rPr>
          <w:rFonts w:asciiTheme="minorHAnsi" w:hAnsiTheme="minorHAnsi" w:cstheme="minorHAnsi"/>
          <w:sz w:val="22"/>
          <w:szCs w:val="22"/>
        </w:rPr>
        <w:t xml:space="preserve"> mois à compter de sa date de notification. A titre indicatif, la date prévisionnelle de notification est le </w:t>
      </w:r>
      <w:r w:rsidR="00C92980">
        <w:rPr>
          <w:rFonts w:asciiTheme="minorHAnsi" w:hAnsiTheme="minorHAnsi" w:cstheme="minorHAnsi"/>
          <w:sz w:val="22"/>
          <w:szCs w:val="22"/>
        </w:rPr>
        <w:t>04/05</w:t>
      </w:r>
      <w:r>
        <w:rPr>
          <w:rFonts w:asciiTheme="minorHAnsi" w:hAnsiTheme="minorHAnsi" w:cstheme="minorHAnsi"/>
          <w:sz w:val="22"/>
          <w:szCs w:val="22"/>
        </w:rPr>
        <w:t>/</w:t>
      </w:r>
      <w:r w:rsidR="00C92980">
        <w:rPr>
          <w:rFonts w:asciiTheme="minorHAnsi" w:hAnsiTheme="minorHAnsi" w:cstheme="minorHAnsi"/>
          <w:sz w:val="22"/>
          <w:szCs w:val="22"/>
        </w:rPr>
        <w:t>2026</w:t>
      </w:r>
      <w:r>
        <w:rPr>
          <w:rFonts w:asciiTheme="minorHAnsi" w:hAnsiTheme="minorHAnsi" w:cstheme="minorHAnsi"/>
          <w:sz w:val="22"/>
          <w:szCs w:val="22"/>
        </w:rPr>
        <w:t xml:space="preserve">.  </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31" w:name="_Toc193931828"/>
      <w:r>
        <w:rPr>
          <w:rFonts w:asciiTheme="minorHAnsi" w:hAnsiTheme="minorHAnsi" w:cstheme="minorHAnsi"/>
          <w:sz w:val="22"/>
          <w:szCs w:val="22"/>
          <w:u w:val="single"/>
        </w:rPr>
        <w:t>Allotissement</w:t>
      </w:r>
      <w:bookmarkEnd w:id="31"/>
    </w:p>
    <w:p w:rsidR="00EC39A8" w:rsidRDefault="00EC39A8">
      <w:pPr>
        <w:rPr>
          <w:rFonts w:asciiTheme="minorHAnsi" w:hAnsiTheme="minorHAnsi" w:cstheme="minorHAnsi"/>
          <w:sz w:val="22"/>
          <w:szCs w:val="22"/>
        </w:rPr>
      </w:pPr>
    </w:p>
    <w:p w:rsidR="00C92980" w:rsidRPr="00E23E75" w:rsidRDefault="00C92980" w:rsidP="00C92980">
      <w:pPr>
        <w:rPr>
          <w:rFonts w:asciiTheme="minorHAnsi" w:hAnsiTheme="minorHAnsi" w:cstheme="minorHAnsi"/>
          <w:sz w:val="22"/>
          <w:szCs w:val="22"/>
        </w:rPr>
      </w:pPr>
      <w:bookmarkStart w:id="32" w:name="_Toc417653425"/>
      <w:bookmarkStart w:id="33" w:name="_Toc419212441"/>
      <w:bookmarkStart w:id="34" w:name="_Toc443657775"/>
      <w:bookmarkStart w:id="35" w:name="_Toc446628694"/>
      <w:bookmarkEnd w:id="24"/>
      <w:bookmarkEnd w:id="25"/>
      <w:bookmarkEnd w:id="26"/>
      <w:bookmarkEnd w:id="27"/>
      <w:bookmarkEnd w:id="28"/>
      <w:r w:rsidRPr="0006068D">
        <w:rPr>
          <w:rFonts w:asciiTheme="minorHAnsi" w:hAnsiTheme="minorHAnsi" w:cstheme="minorHAnsi"/>
          <w:sz w:val="22"/>
          <w:szCs w:val="22"/>
        </w:rPr>
        <w:t xml:space="preserve">La consultation est allotie en </w:t>
      </w:r>
      <w:r>
        <w:rPr>
          <w:rFonts w:asciiTheme="minorHAnsi" w:hAnsiTheme="minorHAnsi" w:cstheme="minorHAnsi"/>
          <w:sz w:val="22"/>
          <w:szCs w:val="22"/>
        </w:rPr>
        <w:t xml:space="preserve">2 </w:t>
      </w:r>
      <w:r w:rsidRPr="00E23E75">
        <w:rPr>
          <w:rFonts w:asciiTheme="minorHAnsi" w:hAnsiTheme="minorHAnsi" w:cstheme="minorHAnsi"/>
          <w:sz w:val="22"/>
          <w:szCs w:val="22"/>
        </w:rPr>
        <w:t>lots se présentant de la façon suivante :</w:t>
      </w:r>
    </w:p>
    <w:p w:rsidR="00C92980" w:rsidRPr="00E04000" w:rsidRDefault="00C92980" w:rsidP="00C92980">
      <w:pPr>
        <w:pStyle w:val="Paragraphedeliste"/>
        <w:numPr>
          <w:ilvl w:val="0"/>
          <w:numId w:val="41"/>
        </w:numPr>
        <w:spacing w:line="240" w:lineRule="auto"/>
        <w:rPr>
          <w:rFonts w:asciiTheme="minorHAnsi" w:hAnsiTheme="minorHAnsi" w:cstheme="minorHAnsi"/>
          <w:sz w:val="22"/>
          <w:szCs w:val="22"/>
        </w:rPr>
      </w:pPr>
      <w:r w:rsidRPr="0006068D">
        <w:rPr>
          <w:rFonts w:asciiTheme="minorHAnsi" w:hAnsiTheme="minorHAnsi" w:cstheme="minorHAnsi"/>
          <w:sz w:val="22"/>
          <w:szCs w:val="22"/>
        </w:rPr>
        <w:t>Lot n° 1 :</w:t>
      </w:r>
      <w:r>
        <w:rPr>
          <w:rFonts w:asciiTheme="minorHAnsi" w:hAnsiTheme="minorHAnsi" w:cstheme="minorHAnsi"/>
          <w:sz w:val="22"/>
          <w:szCs w:val="22"/>
        </w:rPr>
        <w:t xml:space="preserve"> Fourniture et installation des c</w:t>
      </w:r>
      <w:r w:rsidRPr="00E04000">
        <w:rPr>
          <w:rFonts w:asciiTheme="minorHAnsi" w:hAnsiTheme="minorHAnsi" w:cstheme="minorHAnsi"/>
          <w:sz w:val="22"/>
          <w:szCs w:val="22"/>
        </w:rPr>
        <w:t>abines ;</w:t>
      </w:r>
    </w:p>
    <w:p w:rsidR="00C92980" w:rsidRPr="00E04000" w:rsidRDefault="00C92980" w:rsidP="00C92980">
      <w:pPr>
        <w:pStyle w:val="Paragraphedeliste"/>
        <w:numPr>
          <w:ilvl w:val="0"/>
          <w:numId w:val="41"/>
        </w:numPr>
        <w:spacing w:line="240" w:lineRule="auto"/>
        <w:rPr>
          <w:rFonts w:asciiTheme="minorHAnsi" w:hAnsiTheme="minorHAnsi" w:cstheme="minorHAnsi"/>
          <w:sz w:val="22"/>
          <w:szCs w:val="22"/>
        </w:rPr>
      </w:pPr>
      <w:r w:rsidRPr="00E04000">
        <w:rPr>
          <w:rFonts w:asciiTheme="minorHAnsi" w:hAnsiTheme="minorHAnsi" w:cstheme="minorHAnsi"/>
          <w:sz w:val="22"/>
          <w:szCs w:val="22"/>
        </w:rPr>
        <w:t xml:space="preserve">Lot n° 2 : </w:t>
      </w:r>
      <w:r w:rsidRPr="004C1CC2">
        <w:rPr>
          <w:rFonts w:asciiTheme="minorHAnsi" w:hAnsiTheme="minorHAnsi" w:cstheme="minorHAnsi"/>
          <w:sz w:val="22"/>
          <w:szCs w:val="22"/>
        </w:rPr>
        <w:t>Equipement</w:t>
      </w:r>
      <w:r>
        <w:rPr>
          <w:rFonts w:asciiTheme="minorHAnsi" w:hAnsiTheme="minorHAnsi" w:cstheme="minorHAnsi"/>
          <w:sz w:val="22"/>
          <w:szCs w:val="22"/>
        </w:rPr>
        <w:t xml:space="preserve"> des cabines</w:t>
      </w:r>
      <w:r w:rsidRPr="00E04000">
        <w:rPr>
          <w:rFonts w:asciiTheme="minorHAnsi" w:hAnsiTheme="minorHAnsi" w:cstheme="minorHAnsi"/>
          <w:sz w:val="22"/>
          <w:szCs w:val="22"/>
        </w:rPr>
        <w:t> ;</w:t>
      </w:r>
    </w:p>
    <w:p w:rsidR="00EC39A8" w:rsidRDefault="00EC39A8">
      <w:pPr>
        <w:spacing w:line="240" w:lineRule="auto"/>
        <w:jc w:val="both"/>
        <w:rPr>
          <w:rFonts w:asciiTheme="minorHAnsi" w:hAnsiTheme="minorHAnsi" w:cstheme="minorHAnsi"/>
          <w:sz w:val="22"/>
          <w:szCs w:val="22"/>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36" w:name="_Toc193931829"/>
      <w:r>
        <w:rPr>
          <w:rFonts w:asciiTheme="minorHAnsi" w:hAnsiTheme="minorHAnsi" w:cstheme="minorHAnsi"/>
          <w:sz w:val="22"/>
          <w:szCs w:val="22"/>
          <w:u w:val="single"/>
        </w:rPr>
        <w:t>Options</w:t>
      </w:r>
      <w:bookmarkEnd w:id="36"/>
    </w:p>
    <w:p w:rsidR="00EC39A8" w:rsidRDefault="00E95C89">
      <w:pPr>
        <w:pStyle w:val="Titre2"/>
        <w:spacing w:before="120" w:after="120" w:line="240" w:lineRule="auto"/>
        <w:ind w:left="708"/>
        <w:jc w:val="both"/>
        <w:rPr>
          <w:rFonts w:asciiTheme="minorHAnsi" w:hAnsiTheme="minorHAnsi" w:cstheme="minorHAnsi"/>
          <w:i/>
          <w:sz w:val="22"/>
          <w:szCs w:val="22"/>
        </w:rPr>
      </w:pPr>
      <w:bookmarkStart w:id="37" w:name="_Toc193931830"/>
      <w:r>
        <w:rPr>
          <w:rFonts w:asciiTheme="minorHAnsi" w:hAnsiTheme="minorHAnsi" w:cstheme="minorHAnsi"/>
          <w:i/>
          <w:sz w:val="22"/>
          <w:szCs w:val="22"/>
        </w:rPr>
        <w:t>Prestations similaires</w:t>
      </w:r>
      <w:bookmarkEnd w:id="37"/>
    </w:p>
    <w:p w:rsidR="00EC39A8" w:rsidRDefault="00E95C89">
      <w:pPr>
        <w:jc w:val="both"/>
        <w:rPr>
          <w:rFonts w:asciiTheme="minorHAnsi" w:hAnsiTheme="minorHAnsi" w:cstheme="minorHAnsi"/>
          <w:bCs/>
          <w:iCs/>
          <w:sz w:val="22"/>
          <w:szCs w:val="22"/>
        </w:rPr>
      </w:pPr>
      <w:r>
        <w:rPr>
          <w:rFonts w:asciiTheme="minorHAnsi" w:hAnsiTheme="minorHAnsi" w:cstheme="minorHAnsi"/>
          <w:bCs/>
          <w:iCs/>
          <w:sz w:val="22"/>
          <w:szCs w:val="22"/>
        </w:rPr>
        <w:t>En application de l’article R.2122-7 du code de la commande publique, le titulaire du contrat pourra se voir confier, dans le cadre d’une procédure négociée sans mise en concurrence, la réalisation de prestations similaires à celles du contrat initial. La durée pendant laquelle ce ou ces contrats peuvent être conclu(s) ne peut dépasser trois ans à compter de la notification du contrat initial.</w:t>
      </w:r>
    </w:p>
    <w:p w:rsidR="00EC39A8" w:rsidRDefault="00EC39A8">
      <w:pPr>
        <w:pStyle w:val="v"/>
        <w:widowControl w:val="0"/>
        <w:ind w:left="0" w:firstLine="0"/>
        <w:rPr>
          <w:rFonts w:asciiTheme="minorHAnsi" w:hAnsiTheme="minorHAnsi" w:cstheme="minorHAnsi"/>
          <w:szCs w:val="22"/>
        </w:rPr>
      </w:pPr>
      <w:bookmarkStart w:id="38" w:name="_Toc491193961"/>
      <w:bookmarkEnd w:id="38"/>
    </w:p>
    <w:p w:rsidR="00EC39A8" w:rsidRDefault="00E95C89">
      <w:pPr>
        <w:pStyle w:val="Titre2"/>
        <w:spacing w:before="120" w:after="120" w:line="240" w:lineRule="auto"/>
        <w:ind w:left="708"/>
        <w:jc w:val="both"/>
        <w:rPr>
          <w:rFonts w:asciiTheme="minorHAnsi" w:hAnsiTheme="minorHAnsi" w:cstheme="minorHAnsi"/>
          <w:i/>
          <w:sz w:val="22"/>
          <w:szCs w:val="22"/>
        </w:rPr>
      </w:pPr>
      <w:bookmarkStart w:id="39" w:name="_Toc193931831"/>
      <w:r>
        <w:rPr>
          <w:rFonts w:asciiTheme="minorHAnsi" w:hAnsiTheme="minorHAnsi" w:cstheme="minorHAnsi"/>
          <w:i/>
          <w:sz w:val="22"/>
          <w:szCs w:val="22"/>
        </w:rPr>
        <w:t>Reconductions</w:t>
      </w:r>
      <w:bookmarkEnd w:id="39"/>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Le contrat est conclu pour une durée initiale de </w:t>
      </w:r>
      <w:r w:rsidR="00A74784">
        <w:rPr>
          <w:rFonts w:asciiTheme="minorHAnsi" w:hAnsiTheme="minorHAnsi" w:cstheme="minorHAnsi"/>
          <w:sz w:val="22"/>
          <w:szCs w:val="22"/>
        </w:rPr>
        <w:t>8</w:t>
      </w:r>
      <w:r>
        <w:rPr>
          <w:rFonts w:asciiTheme="minorHAnsi" w:hAnsiTheme="minorHAnsi" w:cstheme="minorHAnsi"/>
          <w:sz w:val="22"/>
          <w:szCs w:val="22"/>
        </w:rPr>
        <w:t xml:space="preserve"> mois à compter de sa notification. Il est reconductible 1 fois par décision tacite prise par l’autorité contractante sans pouvoir excéder une durée totale de 8 mois.</w:t>
      </w:r>
    </w:p>
    <w:p w:rsidR="00EC39A8" w:rsidRDefault="00EC39A8"/>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40" w:name="_Toc193931832"/>
      <w:bookmarkEnd w:id="32"/>
      <w:bookmarkEnd w:id="33"/>
      <w:bookmarkEnd w:id="34"/>
      <w:bookmarkEnd w:id="35"/>
      <w:r>
        <w:rPr>
          <w:rFonts w:asciiTheme="minorHAnsi" w:hAnsiTheme="minorHAnsi" w:cstheme="minorHAnsi"/>
          <w:b/>
          <w:caps/>
          <w:sz w:val="28"/>
          <w:szCs w:val="22"/>
          <w:u w:val="single"/>
        </w:rPr>
        <w:t>Conditions de participation de candidats</w:t>
      </w:r>
      <w:bookmarkEnd w:id="40"/>
    </w:p>
    <w:p w:rsidR="00EC39A8" w:rsidRDefault="00E95C89">
      <w:pPr>
        <w:pStyle w:val="Titre2"/>
        <w:spacing w:before="120" w:after="120" w:line="240" w:lineRule="auto"/>
        <w:jc w:val="both"/>
        <w:rPr>
          <w:rFonts w:asciiTheme="minorHAnsi" w:hAnsiTheme="minorHAnsi" w:cstheme="minorHAnsi"/>
          <w:sz w:val="22"/>
          <w:szCs w:val="22"/>
          <w:u w:val="single"/>
        </w:rPr>
      </w:pPr>
      <w:bookmarkStart w:id="41" w:name="_Toc193931833"/>
      <w:r>
        <w:rPr>
          <w:rFonts w:asciiTheme="minorHAnsi" w:hAnsiTheme="minorHAnsi" w:cstheme="minorHAnsi"/>
          <w:sz w:val="22"/>
          <w:szCs w:val="22"/>
          <w:u w:val="single"/>
        </w:rPr>
        <w:t>Conditions de présentation des candidatures</w:t>
      </w:r>
      <w:bookmarkEnd w:id="41"/>
    </w:p>
    <w:p w:rsidR="00EC39A8" w:rsidRDefault="00E95C89">
      <w:pPr>
        <w:pStyle w:val="Standard"/>
        <w:rPr>
          <w:rFonts w:asciiTheme="minorHAnsi" w:hAnsiTheme="minorHAnsi" w:cstheme="minorHAnsi"/>
          <w:bCs/>
          <w:iCs/>
          <w:sz w:val="22"/>
          <w:szCs w:val="22"/>
          <w:lang w:bidi="ar-SA"/>
        </w:rPr>
      </w:pPr>
      <w:r>
        <w:rPr>
          <w:rFonts w:asciiTheme="minorHAnsi" w:eastAsia="Times" w:hAnsiTheme="minorHAnsi" w:cstheme="minorHAnsi"/>
          <w:bCs/>
          <w:iCs/>
          <w:sz w:val="22"/>
          <w:szCs w:val="22"/>
          <w:lang w:eastAsia="fr-FR" w:bidi="ar-SA"/>
        </w:rPr>
        <w:t>Une même personne ne peut représenter plus d'un candidat pour un même marché (article R. 2142-4 du code de la commande publique).</w:t>
      </w:r>
      <w:r>
        <w:rPr>
          <w:rFonts w:asciiTheme="minorHAnsi" w:hAnsiTheme="minorHAnsi" w:cstheme="minorHAnsi"/>
          <w:bCs/>
          <w:iCs/>
          <w:sz w:val="22"/>
          <w:szCs w:val="22"/>
          <w:lang w:bidi="ar-SA"/>
        </w:rPr>
        <w:t xml:space="preserve"> Mais dans le cadre de la consultation, le pouvoir adjudicateur autorise le candidat à présenter plusieurs offres en agissant à la fois :</w:t>
      </w:r>
    </w:p>
    <w:p w:rsidR="00EC39A8" w:rsidRDefault="00E95C89">
      <w:pPr>
        <w:pStyle w:val="Standard"/>
        <w:numPr>
          <w:ilvl w:val="0"/>
          <w:numId w:val="35"/>
        </w:numPr>
        <w:rPr>
          <w:rFonts w:asciiTheme="minorHAnsi" w:hAnsiTheme="minorHAnsi" w:cstheme="minorHAnsi"/>
          <w:bCs/>
          <w:iCs/>
          <w:sz w:val="22"/>
          <w:szCs w:val="22"/>
          <w:lang w:bidi="ar-SA"/>
        </w:rPr>
      </w:pPr>
      <w:r>
        <w:rPr>
          <w:rFonts w:asciiTheme="minorHAnsi" w:hAnsiTheme="minorHAnsi" w:cstheme="minorHAnsi"/>
          <w:bCs/>
          <w:iCs/>
          <w:sz w:val="22"/>
          <w:szCs w:val="22"/>
          <w:lang w:bidi="ar-SA"/>
        </w:rPr>
        <w:t>en qualité de candidat individuel et de membre d'un ou plusieurs groupements d'opérateurs économiques;</w:t>
      </w:r>
    </w:p>
    <w:p w:rsidR="00EC39A8" w:rsidRDefault="00E95C89">
      <w:pPr>
        <w:pStyle w:val="Standard"/>
        <w:numPr>
          <w:ilvl w:val="0"/>
          <w:numId w:val="35"/>
        </w:numPr>
        <w:rPr>
          <w:rFonts w:asciiTheme="minorHAnsi" w:hAnsiTheme="minorHAnsi" w:cstheme="minorHAnsi"/>
          <w:bCs/>
          <w:iCs/>
          <w:sz w:val="22"/>
          <w:szCs w:val="22"/>
          <w:lang w:bidi="ar-SA"/>
        </w:rPr>
      </w:pPr>
      <w:r>
        <w:rPr>
          <w:rFonts w:asciiTheme="minorHAnsi" w:hAnsiTheme="minorHAnsi" w:cstheme="minorHAnsi"/>
          <w:bCs/>
          <w:iCs/>
          <w:sz w:val="22"/>
          <w:szCs w:val="22"/>
          <w:lang w:bidi="ar-SA"/>
        </w:rPr>
        <w:t>en qualité de membres de plusieurs groupements d'opérateurs économiques.</w:t>
      </w:r>
    </w:p>
    <w:p w:rsidR="00EC39A8" w:rsidRDefault="00EC39A8">
      <w:pPr>
        <w:pStyle w:val="Standard"/>
        <w:ind w:left="1066"/>
        <w:rPr>
          <w:rFonts w:asciiTheme="minorHAnsi" w:hAnsiTheme="minorHAnsi" w:cstheme="minorHAnsi"/>
          <w:bCs/>
          <w:iCs/>
          <w:sz w:val="22"/>
          <w:szCs w:val="22"/>
          <w:lang w:bidi="ar-SA"/>
        </w:rPr>
      </w:pPr>
    </w:p>
    <w:p w:rsidR="00EC39A8" w:rsidRDefault="00E95C89">
      <w:pPr>
        <w:pStyle w:val="Standard"/>
        <w:rPr>
          <w:rFonts w:asciiTheme="minorHAnsi" w:eastAsia="Times" w:hAnsiTheme="minorHAnsi" w:cstheme="minorHAnsi"/>
          <w:bCs/>
          <w:iCs/>
          <w:sz w:val="22"/>
          <w:szCs w:val="22"/>
          <w:lang w:eastAsia="fr-FR" w:bidi="ar-SA"/>
        </w:rPr>
      </w:pPr>
      <w:r>
        <w:rPr>
          <w:rFonts w:asciiTheme="minorHAnsi" w:hAnsiTheme="minorHAnsi" w:cstheme="minorHAnsi"/>
          <w:bCs/>
          <w:iCs/>
          <w:sz w:val="22"/>
          <w:szCs w:val="22"/>
          <w:lang w:bidi="ar-SA"/>
        </w:rP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rsidR="00EC39A8" w:rsidRDefault="00EC39A8">
      <w:pPr>
        <w:pStyle w:val="Standard"/>
        <w:rPr>
          <w:rFonts w:asciiTheme="minorHAnsi" w:eastAsia="Times" w:hAnsiTheme="minorHAnsi" w:cstheme="minorHAnsi"/>
          <w:bCs/>
          <w:iCs/>
          <w:sz w:val="22"/>
          <w:szCs w:val="22"/>
          <w:lang w:eastAsia="fr-FR" w:bidi="ar-SA"/>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42" w:name="_Toc193931834"/>
      <w:r>
        <w:rPr>
          <w:rFonts w:asciiTheme="minorHAnsi" w:hAnsiTheme="minorHAnsi" w:cstheme="minorHAnsi"/>
          <w:sz w:val="22"/>
          <w:szCs w:val="22"/>
          <w:u w:val="single"/>
        </w:rPr>
        <w:lastRenderedPageBreak/>
        <w:t>Motifs et conditions d’exclusion</w:t>
      </w:r>
      <w:bookmarkEnd w:id="42"/>
      <w:r>
        <w:rPr>
          <w:rFonts w:asciiTheme="minorHAnsi" w:hAnsiTheme="minorHAnsi" w:cstheme="minorHAnsi"/>
          <w:sz w:val="22"/>
          <w:szCs w:val="22"/>
          <w:u w:val="single"/>
        </w:rPr>
        <w:t xml:space="preserve"> </w:t>
      </w:r>
    </w:p>
    <w:p w:rsidR="00EC39A8" w:rsidRDefault="00E95C89">
      <w:pPr>
        <w:pStyle w:val="Standard"/>
        <w:rPr>
          <w:rFonts w:asciiTheme="minorHAnsi" w:hAnsiTheme="minorHAnsi" w:cstheme="minorHAnsi"/>
          <w:bCs/>
          <w:iCs/>
          <w:sz w:val="22"/>
          <w:szCs w:val="22"/>
        </w:rPr>
      </w:pPr>
      <w:r>
        <w:rPr>
          <w:rFonts w:asciiTheme="minorHAnsi" w:hAnsiTheme="minorHAnsi" w:cstheme="minorHAnsi"/>
          <w:bCs/>
          <w:iCs/>
          <w:sz w:val="22"/>
          <w:szCs w:val="22"/>
        </w:rPr>
        <w:t xml:space="preserve">En application, notamment : </w:t>
      </w:r>
    </w:p>
    <w:p w:rsidR="00EC39A8" w:rsidRDefault="00E95C89">
      <w:pPr>
        <w:pStyle w:val="Standard"/>
        <w:numPr>
          <w:ilvl w:val="0"/>
          <w:numId w:val="38"/>
        </w:numPr>
        <w:rPr>
          <w:rFonts w:asciiTheme="minorHAnsi" w:hAnsiTheme="minorHAnsi" w:cstheme="minorHAnsi"/>
          <w:bCs/>
          <w:iCs/>
          <w:sz w:val="22"/>
          <w:szCs w:val="22"/>
        </w:rPr>
      </w:pPr>
      <w:r>
        <w:rPr>
          <w:rFonts w:asciiTheme="minorHAnsi" w:hAnsiTheme="minorHAnsi" w:cstheme="minorHAnsi"/>
          <w:bCs/>
          <w:iCs/>
          <w:sz w:val="22"/>
          <w:szCs w:val="22"/>
        </w:rPr>
        <w:t>de la loi n°2016-1691 du 9 décembre 2016 relative à la transparence, à la lutte contre la corruption et à la modernisation de la vie économique, dite loi « Sapin II »,</w:t>
      </w:r>
    </w:p>
    <w:p w:rsidR="00EC39A8" w:rsidRDefault="00E95C89">
      <w:pPr>
        <w:pStyle w:val="Standard"/>
        <w:numPr>
          <w:ilvl w:val="0"/>
          <w:numId w:val="38"/>
        </w:numPr>
        <w:rPr>
          <w:rFonts w:asciiTheme="minorHAnsi" w:hAnsiTheme="minorHAnsi" w:cstheme="minorHAnsi"/>
          <w:bCs/>
          <w:iCs/>
          <w:sz w:val="22"/>
          <w:szCs w:val="22"/>
        </w:rPr>
      </w:pPr>
      <w:r>
        <w:rPr>
          <w:rFonts w:asciiTheme="minorHAnsi" w:hAnsiTheme="minorHAnsi" w:cstheme="minorHAnsi"/>
          <w:bCs/>
          <w:iCs/>
          <w:sz w:val="22"/>
          <w:szCs w:val="22"/>
        </w:rPr>
        <w:t>du chapitre II du Code monétaire et financier français portant sur les « dispositions relatives au gel des avoirs et à l'interdiction de mise à disposition » (notamment les articles L562-4 et 5),</w:t>
      </w:r>
    </w:p>
    <w:p w:rsidR="00EC39A8" w:rsidRDefault="00E95C89">
      <w:pPr>
        <w:pStyle w:val="Standard"/>
        <w:numPr>
          <w:ilvl w:val="0"/>
          <w:numId w:val="38"/>
        </w:numPr>
        <w:rPr>
          <w:rFonts w:asciiTheme="minorHAnsi" w:hAnsiTheme="minorHAnsi" w:cstheme="minorHAnsi"/>
          <w:bCs/>
          <w:iCs/>
          <w:sz w:val="22"/>
          <w:szCs w:val="22"/>
        </w:rPr>
      </w:pPr>
      <w:r>
        <w:rPr>
          <w:rFonts w:asciiTheme="minorHAnsi" w:hAnsiTheme="minorHAnsi" w:cstheme="minorHAnsi"/>
          <w:bCs/>
          <w:iCs/>
          <w:sz w:val="22"/>
          <w:szCs w:val="22"/>
        </w:rPr>
        <w:t>des exigences en la matière découlant de l’accréditation pour la gestion des fonds délégués de l’Union européenne (pilier 7 relatif à l’exclusion à l’accès aux financements),</w:t>
      </w:r>
    </w:p>
    <w:p w:rsidR="00EC39A8" w:rsidRDefault="00EC39A8">
      <w:pPr>
        <w:pStyle w:val="Standard"/>
        <w:rPr>
          <w:rFonts w:asciiTheme="minorHAnsi" w:hAnsiTheme="minorHAnsi" w:cstheme="minorHAnsi"/>
          <w:bCs/>
          <w:iCs/>
          <w:sz w:val="22"/>
          <w:szCs w:val="22"/>
        </w:rPr>
      </w:pPr>
    </w:p>
    <w:p w:rsidR="00EC39A8" w:rsidRDefault="00E95C89">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rPr>
      </w:pPr>
      <w:r>
        <w:rPr>
          <w:rFonts w:asciiTheme="minorHAnsi" w:eastAsia="Times" w:hAnsiTheme="minorHAnsi" w:cstheme="minorHAnsi"/>
          <w:bCs/>
          <w:iCs/>
          <w:sz w:val="22"/>
          <w:szCs w:val="22"/>
          <w:lang w:eastAsia="fr-FR" w:bidi="ar-SA"/>
        </w:rPr>
        <w:t>Les candidats ou leur représentant se trouvant dans un des cas énumérés aux articles L.2141-1 à L.2141-10 du code de la commande publique, ou qui figurent sur une liste d’exclusion officielle sont exclus de la procédure, que leur situation soit révélée par leurs propres déclarations ou par la mise en œuvre des mesures de vigilance par l’autorité contractante.</w:t>
      </w:r>
    </w:p>
    <w:p w:rsidR="00EC39A8" w:rsidRDefault="00EC39A8">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rPr>
      </w:pPr>
    </w:p>
    <w:p w:rsidR="00EC39A8" w:rsidRDefault="00E95C89">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rPr>
      </w:pPr>
      <w:r>
        <w:rPr>
          <w:rFonts w:asciiTheme="minorHAnsi" w:eastAsia="Times" w:hAnsiTheme="minorHAnsi" w:cstheme="minorHAnsi"/>
          <w:bCs/>
          <w:iCs/>
          <w:sz w:val="22"/>
          <w:szCs w:val="22"/>
          <w:lang w:eastAsia="fr-FR" w:bidi="ar-SA"/>
        </w:rPr>
        <w:t xml:space="preserve">Toutefois, lorsque la décision d’exclusion est laissée à l’appréciation de l’autorité contractante, </w:t>
      </w:r>
      <w:r>
        <w:rPr>
          <w:rFonts w:asciiTheme="minorHAnsi" w:hAnsiTheme="minorHAnsi" w:cstheme="minorHAnsi"/>
          <w:bCs/>
          <w:iCs/>
          <w:sz w:val="22"/>
          <w:szCs w:val="22"/>
        </w:rPr>
        <w:t xml:space="preserve">celle-ci invite le(s) candidat(s) susceptible(s) d’être exclu(s) à présenter ses(leurs) observations afin d'établir dans un délai raisonnable n’excédant pas 10 jours, et par tout moyen, que les mesures nécessaires pour corriger les manquements à l’origine de l’exclusion ont été prises et, le cas échéant, que sa(leur) participation à la consultation n'est pas susceptible de porter atteinte à l'égalité de </w:t>
      </w:r>
      <w:r>
        <w:rPr>
          <w:rFonts w:asciiTheme="minorHAnsi" w:eastAsia="Times" w:hAnsiTheme="minorHAnsi" w:cstheme="minorHAnsi"/>
          <w:bCs/>
          <w:iCs/>
          <w:sz w:val="22"/>
          <w:szCs w:val="22"/>
          <w:lang w:eastAsia="fr-FR" w:bidi="ar-SA"/>
        </w:rPr>
        <w:t>traitement.</w:t>
      </w:r>
    </w:p>
    <w:p w:rsidR="00EC39A8" w:rsidRDefault="00EC39A8">
      <w:pPr>
        <w:pStyle w:val="Standard"/>
        <w:pBdr>
          <w:top w:val="single" w:sz="4" w:space="1" w:color="000000"/>
          <w:left w:val="single" w:sz="4" w:space="1" w:color="000000"/>
          <w:bottom w:val="single" w:sz="4" w:space="1" w:color="000000"/>
          <w:right w:val="single" w:sz="4" w:space="1" w:color="000000"/>
        </w:pBdr>
        <w:rPr>
          <w:rFonts w:asciiTheme="minorHAnsi" w:hAnsiTheme="minorHAnsi" w:cstheme="minorHAnsi"/>
          <w:bCs/>
          <w:iCs/>
          <w:sz w:val="22"/>
          <w:szCs w:val="22"/>
        </w:rPr>
      </w:pPr>
    </w:p>
    <w:p w:rsidR="00EC39A8" w:rsidRDefault="00E95C89">
      <w:pPr>
        <w:pStyle w:val="Standard"/>
        <w:pBdr>
          <w:top w:val="single" w:sz="4" w:space="1" w:color="000000"/>
          <w:left w:val="single" w:sz="4" w:space="1" w:color="000000"/>
          <w:bottom w:val="single" w:sz="4" w:space="1" w:color="000000"/>
          <w:right w:val="single" w:sz="4" w:space="1" w:color="000000"/>
        </w:pBdr>
        <w:rPr>
          <w:rFonts w:asciiTheme="minorHAnsi" w:eastAsia="Times" w:hAnsiTheme="minorHAnsi" w:cstheme="minorHAnsi"/>
          <w:bCs/>
          <w:iCs/>
          <w:sz w:val="22"/>
          <w:szCs w:val="22"/>
          <w:lang w:eastAsia="fr-FR" w:bidi="ar-SA"/>
        </w:rPr>
      </w:pPr>
      <w:r>
        <w:rPr>
          <w:rFonts w:asciiTheme="minorHAnsi" w:eastAsia="Times" w:hAnsiTheme="minorHAnsi" w:cstheme="minorHAnsi"/>
          <w:bCs/>
          <w:iCs/>
          <w:sz w:val="22"/>
          <w:szCs w:val="22"/>
          <w:lang w:eastAsia="fr-FR" w:bidi="ar-SA"/>
        </w:rPr>
        <w:t>Lorsqu'un opérateur économique se trouve, en cours de procédure, en situation d'exclusion, il en informe sans délai le pouvoir adjudicateur qui l'exclut pour ce motif.</w:t>
      </w:r>
    </w:p>
    <w:p w:rsidR="00EC39A8" w:rsidRDefault="00EC39A8">
      <w:pPr>
        <w:pStyle w:val="Standard"/>
        <w:rPr>
          <w:rFonts w:asciiTheme="minorHAnsi" w:eastAsia="Times" w:hAnsiTheme="minorHAnsi" w:cstheme="minorHAnsi"/>
          <w:bCs/>
          <w:iCs/>
          <w:sz w:val="22"/>
          <w:szCs w:val="22"/>
          <w:lang w:eastAsia="fr-FR" w:bidi="ar-SA"/>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43" w:name="_Toc193931835"/>
      <w:r>
        <w:rPr>
          <w:rFonts w:asciiTheme="minorHAnsi" w:hAnsiTheme="minorHAnsi" w:cstheme="minorHAnsi"/>
          <w:sz w:val="22"/>
          <w:szCs w:val="22"/>
          <w:u w:val="single"/>
        </w:rPr>
        <w:t>Niveaux minimaux requis en termes de capacités économiques, techniques et professionnelles</w:t>
      </w:r>
      <w:bookmarkEnd w:id="43"/>
      <w:r>
        <w:rPr>
          <w:rFonts w:asciiTheme="minorHAnsi" w:hAnsiTheme="minorHAnsi" w:cstheme="minorHAnsi"/>
          <w:sz w:val="22"/>
          <w:szCs w:val="22"/>
          <w:u w:val="single"/>
        </w:rPr>
        <w:t xml:space="preserve"> </w:t>
      </w:r>
    </w:p>
    <w:p w:rsidR="00EC39A8" w:rsidRDefault="00E95C89">
      <w:pPr>
        <w:pStyle w:val="Default"/>
        <w:jc w:val="both"/>
        <w:rPr>
          <w:rFonts w:asciiTheme="minorHAnsi" w:hAnsiTheme="minorHAnsi" w:cstheme="minorHAnsi"/>
          <w:sz w:val="22"/>
          <w:szCs w:val="22"/>
        </w:rPr>
      </w:pPr>
      <w:r>
        <w:rPr>
          <w:rFonts w:asciiTheme="minorHAnsi" w:hAnsiTheme="minorHAnsi" w:cstheme="minorHAnsi"/>
          <w:sz w:val="22"/>
          <w:szCs w:val="22"/>
        </w:rPr>
        <w:t>L’autorité contractante n'impose pas aux candidats de niveaux minimaux de capacité.</w:t>
      </w:r>
    </w:p>
    <w:p w:rsidR="00EC39A8" w:rsidRDefault="00E95C89">
      <w:pPr>
        <w:pStyle w:val="Default"/>
        <w:spacing w:before="120"/>
        <w:jc w:val="both"/>
        <w:rPr>
          <w:rFonts w:asciiTheme="minorHAnsi" w:hAnsiTheme="minorHAnsi" w:cstheme="minorHAnsi"/>
          <w:sz w:val="22"/>
          <w:szCs w:val="22"/>
        </w:rPr>
      </w:pPr>
      <w:r>
        <w:rPr>
          <w:rFonts w:asciiTheme="minorHAnsi" w:hAnsiTheme="minorHAnsi" w:cstheme="minorHAnsi"/>
          <w:sz w:val="22"/>
          <w:szCs w:val="22"/>
        </w:rPr>
        <w:t>Chaque cotraitant membre du groupement doit fournir l’ensemble des pièces exigées au titre du présent règlement de consultation. Pour justifier de ses capacités professionnelles, techniques et financières, le candidat peut demander que soient prises en compte les capacités professionnelles, techniques et financières d'un ou de plusieurs opérateurs économiques. Dans ce cas, il doit justifier des capacités de ce ou ces autres opérateurs économiques et du fait qu'il en dispose pour l'exécution du marché.</w:t>
      </w:r>
    </w:p>
    <w:p w:rsidR="00EC39A8" w:rsidRDefault="00E95C89">
      <w:pPr>
        <w:pStyle w:val="Default"/>
        <w:jc w:val="both"/>
        <w:rPr>
          <w:rFonts w:asciiTheme="minorHAnsi" w:hAnsiTheme="minorHAnsi" w:cstheme="minorHAnsi"/>
          <w:sz w:val="22"/>
          <w:szCs w:val="22"/>
        </w:rPr>
      </w:pPr>
      <w:r>
        <w:rPr>
          <w:rFonts w:asciiTheme="minorHAnsi" w:hAnsiTheme="minorHAnsi" w:cstheme="minorHAnsi"/>
          <w:sz w:val="22"/>
          <w:szCs w:val="22"/>
        </w:rPr>
        <w:t>En cas de groupement momentané d'entreprises, l'appréciation de ces conditions de participation est globale ; le dossier de candidature devra comporter une habilitation du mandataire par ses cotraitants pouvant prendre la forme du formulaire DC1 en vigueur.</w:t>
      </w:r>
    </w:p>
    <w:p w:rsidR="00EC39A8" w:rsidRDefault="00EC39A8">
      <w:pPr>
        <w:pStyle w:val="Standard"/>
        <w:rPr>
          <w:rFonts w:asciiTheme="minorHAnsi" w:eastAsia="Times" w:hAnsiTheme="minorHAnsi" w:cstheme="minorHAnsi"/>
          <w:bCs/>
          <w:iCs/>
          <w:sz w:val="22"/>
          <w:szCs w:val="22"/>
          <w:lang w:eastAsia="fr-FR" w:bidi="ar-SA"/>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44" w:name="__RefHeading__47578_1391709442"/>
      <w:bookmarkStart w:id="45" w:name="_Toc55543747"/>
      <w:bookmarkStart w:id="46" w:name="_Toc55543797"/>
      <w:bookmarkStart w:id="47" w:name="_Toc193931836"/>
      <w:r>
        <w:rPr>
          <w:rFonts w:asciiTheme="minorHAnsi" w:hAnsiTheme="minorHAnsi" w:cstheme="minorHAnsi"/>
          <w:sz w:val="22"/>
          <w:szCs w:val="22"/>
          <w:u w:val="single"/>
        </w:rPr>
        <w:t>Précisions concernant les groupements d'opérateurs économiques</w:t>
      </w:r>
      <w:bookmarkEnd w:id="44"/>
      <w:bookmarkEnd w:id="45"/>
      <w:bookmarkEnd w:id="46"/>
      <w:r>
        <w:rPr>
          <w:rFonts w:asciiTheme="minorHAnsi" w:hAnsiTheme="minorHAnsi" w:cstheme="minorHAnsi"/>
          <w:sz w:val="22"/>
          <w:szCs w:val="22"/>
          <w:u w:val="single"/>
        </w:rPr>
        <w:t xml:space="preserve"> (consortium)</w:t>
      </w:r>
      <w:bookmarkEnd w:id="47"/>
    </w:p>
    <w:p w:rsidR="00EC39A8" w:rsidRDefault="00EC39A8">
      <w:pPr>
        <w:pStyle w:val="Standard"/>
        <w:rPr>
          <w:rFonts w:asciiTheme="minorHAnsi" w:hAnsiTheme="minorHAnsi" w:cstheme="minorHAnsi"/>
          <w:bCs/>
          <w:iCs/>
          <w:sz w:val="22"/>
          <w:szCs w:val="22"/>
          <w:lang w:bidi="ar-SA"/>
        </w:rPr>
      </w:pPr>
    </w:p>
    <w:p w:rsidR="00EC39A8" w:rsidRDefault="00E95C89">
      <w:pPr>
        <w:pStyle w:val="Titre2"/>
        <w:spacing w:before="120" w:after="120" w:line="240" w:lineRule="auto"/>
        <w:ind w:left="708"/>
        <w:jc w:val="both"/>
        <w:rPr>
          <w:rFonts w:asciiTheme="minorHAnsi" w:hAnsiTheme="minorHAnsi" w:cstheme="minorHAnsi"/>
          <w:i/>
          <w:sz w:val="22"/>
          <w:szCs w:val="22"/>
        </w:rPr>
      </w:pPr>
      <w:bookmarkStart w:id="48" w:name="_Toc55543798"/>
      <w:bookmarkStart w:id="49" w:name="_Toc193931837"/>
      <w:r>
        <w:rPr>
          <w:rFonts w:asciiTheme="minorHAnsi" w:hAnsiTheme="minorHAnsi" w:cstheme="minorHAnsi"/>
          <w:i/>
          <w:sz w:val="22"/>
          <w:szCs w:val="22"/>
        </w:rPr>
        <w:t>Motifs d'exclusion en cas de groupement d'opérateurs économiques</w:t>
      </w:r>
      <w:bookmarkEnd w:id="48"/>
      <w:bookmarkEnd w:id="49"/>
    </w:p>
    <w:p w:rsidR="00EC39A8" w:rsidRDefault="00E95C89">
      <w:pPr>
        <w:pStyle w:val="Standard"/>
        <w:rPr>
          <w:rFonts w:asciiTheme="minorHAnsi" w:hAnsiTheme="minorHAnsi" w:cstheme="minorHAnsi"/>
          <w:bCs/>
          <w:iCs/>
          <w:sz w:val="22"/>
          <w:szCs w:val="22"/>
          <w:lang w:bidi="ar-SA"/>
        </w:rPr>
      </w:pPr>
      <w:r>
        <w:rPr>
          <w:rFonts w:asciiTheme="minorHAnsi" w:hAnsiTheme="minorHAnsi" w:cstheme="minorHAnsi"/>
          <w:bCs/>
          <w:iCs/>
          <w:sz w:val="22"/>
          <w:szCs w:val="22"/>
          <w:lang w:bidi="ar-SA"/>
        </w:rPr>
        <w:t>Lorsque le motif d'exclusion de la procédure de passation concerne un des membres du groupement, l’autorité contractante exige son remplacement par une personne qui ne fait pas l'objet d'un motif d'exclusion dans un délai de 10 jours à compter de la réception de cette demande par le mandataire du groupement. A défaut, le groupement est exclu de la procédure ;</w:t>
      </w:r>
    </w:p>
    <w:p w:rsidR="00EC39A8" w:rsidRDefault="00E95C89">
      <w:pPr>
        <w:pStyle w:val="Titre2"/>
        <w:spacing w:before="120" w:after="120" w:line="240" w:lineRule="auto"/>
        <w:ind w:left="708"/>
        <w:jc w:val="both"/>
        <w:rPr>
          <w:rFonts w:asciiTheme="minorHAnsi" w:hAnsiTheme="minorHAnsi" w:cstheme="minorHAnsi"/>
          <w:i/>
          <w:sz w:val="22"/>
          <w:szCs w:val="22"/>
        </w:rPr>
      </w:pPr>
      <w:bookmarkStart w:id="50" w:name="_Toc55543800"/>
      <w:bookmarkStart w:id="51" w:name="_Toc193931838"/>
      <w:r>
        <w:rPr>
          <w:rFonts w:asciiTheme="minorHAnsi" w:hAnsiTheme="minorHAnsi" w:cstheme="minorHAnsi"/>
          <w:i/>
          <w:sz w:val="22"/>
          <w:szCs w:val="22"/>
        </w:rPr>
        <w:t>Forme du groupement</w:t>
      </w:r>
      <w:bookmarkEnd w:id="50"/>
      <w:bookmarkEnd w:id="51"/>
    </w:p>
    <w:p w:rsidR="00EC39A8" w:rsidRDefault="00E95C89">
      <w:pPr>
        <w:pStyle w:val="Standard"/>
        <w:rPr>
          <w:rFonts w:asciiTheme="minorHAnsi" w:hAnsiTheme="minorHAnsi" w:cstheme="minorHAnsi"/>
          <w:bCs/>
          <w:iCs/>
          <w:sz w:val="22"/>
          <w:szCs w:val="22"/>
          <w:lang w:bidi="ar-SA"/>
        </w:rPr>
      </w:pPr>
      <w:r>
        <w:rPr>
          <w:rFonts w:asciiTheme="minorHAnsi" w:hAnsiTheme="minorHAnsi" w:cstheme="minorHAnsi"/>
          <w:bCs/>
          <w:iCs/>
          <w:sz w:val="22"/>
          <w:szCs w:val="22"/>
          <w:lang w:bidi="ar-SA"/>
        </w:rPr>
        <w:t>La forme du groupement est solidaire.</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52" w:name="__RefHeading__47580_1391709442"/>
      <w:bookmarkStart w:id="53" w:name="_Toc55543748"/>
      <w:bookmarkStart w:id="54" w:name="_Toc55543801"/>
      <w:bookmarkStart w:id="55" w:name="_Toc193931839"/>
      <w:r>
        <w:rPr>
          <w:rFonts w:asciiTheme="minorHAnsi" w:hAnsiTheme="minorHAnsi" w:cstheme="minorHAnsi"/>
          <w:sz w:val="22"/>
          <w:szCs w:val="22"/>
          <w:u w:val="single"/>
        </w:rPr>
        <w:lastRenderedPageBreak/>
        <w:t>Précisions concernant la sous-traitance</w:t>
      </w:r>
      <w:bookmarkEnd w:id="52"/>
      <w:bookmarkEnd w:id="53"/>
      <w:bookmarkEnd w:id="54"/>
      <w:bookmarkEnd w:id="55"/>
    </w:p>
    <w:p w:rsidR="00EC39A8" w:rsidRDefault="00E95C89">
      <w:pPr>
        <w:pStyle w:val="Titre2"/>
        <w:spacing w:before="120" w:after="120" w:line="240" w:lineRule="auto"/>
        <w:ind w:left="708"/>
        <w:jc w:val="both"/>
        <w:rPr>
          <w:rFonts w:asciiTheme="minorHAnsi" w:hAnsiTheme="minorHAnsi" w:cstheme="minorHAnsi"/>
          <w:i/>
          <w:sz w:val="22"/>
          <w:szCs w:val="22"/>
        </w:rPr>
      </w:pPr>
      <w:bookmarkStart w:id="56" w:name="_Toc55543802"/>
      <w:bookmarkStart w:id="57" w:name="_Toc193931840"/>
      <w:r>
        <w:rPr>
          <w:rFonts w:asciiTheme="minorHAnsi" w:hAnsiTheme="minorHAnsi" w:cstheme="minorHAnsi"/>
          <w:i/>
          <w:sz w:val="22"/>
          <w:szCs w:val="22"/>
        </w:rPr>
        <w:t>Motifs d'exclusion en cas de sous-traitance</w:t>
      </w:r>
      <w:bookmarkEnd w:id="56"/>
      <w:bookmarkEnd w:id="57"/>
    </w:p>
    <w:p w:rsidR="00EC39A8" w:rsidRDefault="00E95C89">
      <w:pPr>
        <w:pStyle w:val="Standard"/>
        <w:rPr>
          <w:rFonts w:asciiTheme="minorHAnsi" w:hAnsiTheme="minorHAnsi" w:cstheme="minorHAnsi"/>
          <w:bCs/>
          <w:iCs/>
          <w:sz w:val="22"/>
          <w:szCs w:val="22"/>
          <w:lang w:bidi="ar-SA"/>
        </w:rPr>
      </w:pPr>
      <w:r>
        <w:rPr>
          <w:rFonts w:asciiTheme="minorHAnsi" w:hAnsiTheme="minorHAnsi" w:cstheme="minorHAnsi"/>
          <w:bCs/>
          <w:iCs/>
          <w:sz w:val="22"/>
          <w:szCs w:val="22"/>
          <w:lang w:bidi="ar-SA"/>
        </w:rPr>
        <w:t>Les personnes à l'encontre desquelles il existe un motif d'exclusion ne peuvent être acceptées en tant que sous-traitant.</w:t>
      </w:r>
    </w:p>
    <w:p w:rsidR="00EC39A8" w:rsidRDefault="00E95C89">
      <w:pPr>
        <w:pStyle w:val="Standard"/>
        <w:rPr>
          <w:rFonts w:asciiTheme="minorHAnsi" w:hAnsiTheme="minorHAnsi" w:cstheme="minorHAnsi"/>
          <w:bCs/>
          <w:iCs/>
          <w:sz w:val="22"/>
          <w:szCs w:val="22"/>
          <w:lang w:bidi="ar-SA"/>
        </w:rPr>
      </w:pPr>
      <w:r>
        <w:rPr>
          <w:rFonts w:asciiTheme="minorHAnsi" w:hAnsiTheme="minorHAnsi" w:cstheme="minorHAnsi"/>
          <w:bCs/>
          <w:iCs/>
          <w:sz w:val="22"/>
          <w:szCs w:val="22"/>
          <w:lang w:bidi="ar-SA"/>
        </w:rPr>
        <w:t>Lorsque le sous-traitant à l'encontre duquel il existe un motif d'exclusion est présenté au stade de la candidature, le pouvoir adjudicateur exige son remplacement par une personne qui ne fait pas l'objet d'un motif d'exclusion, dans un délai de 10 jours à compter de la réception de cette demande par le candidat. A défaut, le candidat est exclu de la procédure.</w:t>
      </w:r>
    </w:p>
    <w:p w:rsidR="00EC39A8" w:rsidRDefault="00E95C89">
      <w:pPr>
        <w:pStyle w:val="Titre2"/>
        <w:spacing w:before="120" w:after="120" w:line="240" w:lineRule="auto"/>
        <w:ind w:left="708"/>
        <w:jc w:val="both"/>
        <w:rPr>
          <w:rFonts w:asciiTheme="minorHAnsi" w:hAnsiTheme="minorHAnsi" w:cstheme="minorHAnsi"/>
          <w:i/>
          <w:sz w:val="22"/>
          <w:szCs w:val="22"/>
        </w:rPr>
      </w:pPr>
      <w:r>
        <w:rPr>
          <w:rFonts w:asciiTheme="minorHAnsi" w:hAnsiTheme="minorHAnsi" w:cstheme="minorHAnsi"/>
          <w:i/>
          <w:sz w:val="22"/>
          <w:szCs w:val="22"/>
        </w:rPr>
        <w:t xml:space="preserve"> </w:t>
      </w:r>
      <w:bookmarkStart w:id="58" w:name="_Toc55543803"/>
      <w:bookmarkStart w:id="59" w:name="_Toc193931841"/>
      <w:r>
        <w:rPr>
          <w:rFonts w:asciiTheme="minorHAnsi" w:hAnsiTheme="minorHAnsi" w:cstheme="minorHAnsi"/>
          <w:i/>
          <w:sz w:val="22"/>
          <w:szCs w:val="22"/>
        </w:rPr>
        <w:t>Présentation d’un sous-traitant</w:t>
      </w:r>
      <w:bookmarkEnd w:id="58"/>
      <w:bookmarkEnd w:id="59"/>
    </w:p>
    <w:p w:rsidR="00EC39A8" w:rsidRDefault="00E95C89">
      <w:pPr>
        <w:pStyle w:val="Standard"/>
        <w:rPr>
          <w:rFonts w:asciiTheme="minorHAnsi" w:hAnsiTheme="minorHAnsi" w:cstheme="minorHAnsi"/>
          <w:bCs/>
          <w:iCs/>
          <w:sz w:val="22"/>
          <w:szCs w:val="22"/>
          <w:lang w:bidi="ar-SA"/>
        </w:rPr>
      </w:pPr>
      <w:r>
        <w:rPr>
          <w:rFonts w:asciiTheme="minorHAnsi" w:hAnsiTheme="minorHAnsi" w:cstheme="minorHAnsi"/>
          <w:bCs/>
          <w:iCs/>
          <w:sz w:val="22"/>
          <w:szCs w:val="22"/>
          <w:lang w:bidi="ar-SA"/>
        </w:rPr>
        <w:t>La présentation d'un sous-traitant se fait à l'aide de l'imprimé DC 4 (Déclaration de sous-traitance)</w:t>
      </w:r>
      <w:r>
        <w:rPr>
          <w:rStyle w:val="Appelnotedebasdep"/>
          <w:rFonts w:asciiTheme="minorHAnsi" w:hAnsiTheme="minorHAnsi" w:cstheme="minorHAnsi"/>
          <w:bCs/>
          <w:iCs/>
          <w:sz w:val="22"/>
          <w:szCs w:val="22"/>
          <w:lang w:bidi="ar-SA"/>
        </w:rPr>
        <w:footnoteReference w:id="1"/>
      </w:r>
      <w:r>
        <w:rPr>
          <w:rFonts w:asciiTheme="minorHAnsi" w:hAnsiTheme="minorHAnsi" w:cstheme="minorHAnsi"/>
          <w:bCs/>
          <w:iCs/>
          <w:sz w:val="22"/>
          <w:szCs w:val="22"/>
          <w:lang w:bidi="ar-SA"/>
        </w:rPr>
        <w:t xml:space="preserv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w:t>
      </w:r>
    </w:p>
    <w:p w:rsidR="00EC39A8" w:rsidRDefault="00EC39A8">
      <w:pPr>
        <w:pStyle w:val="Standard"/>
        <w:rPr>
          <w:rFonts w:asciiTheme="minorHAnsi" w:eastAsia="Times" w:hAnsiTheme="minorHAnsi" w:cstheme="minorHAnsi"/>
          <w:bCs/>
          <w:iCs/>
          <w:sz w:val="22"/>
          <w:szCs w:val="22"/>
          <w:lang w:eastAsia="fr-FR" w:bidi="ar-SA"/>
        </w:rPr>
      </w:pP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60" w:name="_Toc56722965"/>
      <w:bookmarkStart w:id="61" w:name="_Toc56789984"/>
      <w:bookmarkStart w:id="62" w:name="_Toc56790441"/>
      <w:bookmarkStart w:id="63" w:name="_Toc63419888"/>
      <w:bookmarkStart w:id="64" w:name="_Toc193931842"/>
      <w:bookmarkEnd w:id="60"/>
      <w:bookmarkEnd w:id="61"/>
      <w:bookmarkEnd w:id="62"/>
      <w:bookmarkEnd w:id="63"/>
      <w:r>
        <w:rPr>
          <w:rFonts w:asciiTheme="minorHAnsi" w:hAnsiTheme="minorHAnsi" w:cstheme="minorHAnsi"/>
          <w:b/>
          <w:caps/>
          <w:sz w:val="28"/>
          <w:szCs w:val="22"/>
          <w:u w:val="single"/>
        </w:rPr>
        <w:t>Présentation des plis et modalités de depôt</w:t>
      </w:r>
      <w:bookmarkEnd w:id="64"/>
    </w:p>
    <w:p w:rsidR="00EC39A8" w:rsidRDefault="00E95C89">
      <w:pPr>
        <w:pStyle w:val="v"/>
        <w:widowControl w:val="0"/>
        <w:ind w:left="0" w:firstLine="0"/>
        <w:rPr>
          <w:rFonts w:asciiTheme="minorHAnsi" w:hAnsiTheme="minorHAnsi" w:cstheme="minorHAnsi"/>
          <w:szCs w:val="22"/>
        </w:rPr>
      </w:pPr>
      <w:bookmarkStart w:id="65" w:name="_Toc417653428"/>
      <w:bookmarkStart w:id="66" w:name="_Toc419212444"/>
      <w:bookmarkStart w:id="67" w:name="_Toc443657778"/>
      <w:bookmarkStart w:id="68" w:name="_Toc446628697"/>
      <w:r>
        <w:rPr>
          <w:rFonts w:asciiTheme="minorHAnsi" w:hAnsiTheme="minorHAnsi" w:cstheme="minorHAnsi"/>
          <w:szCs w:val="22"/>
        </w:rPr>
        <w:t>Les soumissionnaires remettent un dossier complet comprenant les pièces mentionnées ci-après. Les documents demandés doivent être signés par le soumissionnaire, le mandataire du groupement momentané d'entreprises ou chacun des membres de ce même groupement.</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69" w:name="_Toc452049149"/>
      <w:bookmarkStart w:id="70" w:name="_Toc455587889"/>
      <w:bookmarkStart w:id="71" w:name="_Toc455679215"/>
      <w:bookmarkStart w:id="72" w:name="_Toc455768072"/>
      <w:bookmarkStart w:id="73" w:name="_Toc193931843"/>
      <w:bookmarkEnd w:id="65"/>
      <w:bookmarkEnd w:id="66"/>
      <w:bookmarkEnd w:id="67"/>
      <w:bookmarkEnd w:id="68"/>
      <w:r>
        <w:rPr>
          <w:rFonts w:asciiTheme="minorHAnsi" w:hAnsiTheme="minorHAnsi" w:cstheme="minorHAnsi"/>
          <w:sz w:val="22"/>
          <w:szCs w:val="22"/>
          <w:u w:val="single"/>
        </w:rPr>
        <w:t xml:space="preserve">Pièces constitutives de </w:t>
      </w:r>
      <w:bookmarkEnd w:id="69"/>
      <w:bookmarkEnd w:id="70"/>
      <w:bookmarkEnd w:id="71"/>
      <w:bookmarkEnd w:id="72"/>
      <w:r>
        <w:rPr>
          <w:rFonts w:asciiTheme="minorHAnsi" w:hAnsiTheme="minorHAnsi" w:cstheme="minorHAnsi"/>
          <w:sz w:val="22"/>
          <w:szCs w:val="22"/>
          <w:u w:val="single"/>
        </w:rPr>
        <w:t>la candidature</w:t>
      </w:r>
      <w:bookmarkEnd w:id="73"/>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Les candidats remettent les éléments de candidatures suivants :</w:t>
      </w:r>
    </w:p>
    <w:p w:rsidR="00EC39A8" w:rsidRDefault="00E95C89">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Une preuve de l’enregistrement du candidat au registre des sociétés (K-bis ou équivalent) ;</w:t>
      </w:r>
    </w:p>
    <w:p w:rsidR="00EC39A8" w:rsidRDefault="00E95C89">
      <w:pPr>
        <w:pStyle w:val="Default"/>
        <w:numPr>
          <w:ilvl w:val="0"/>
          <w:numId w:val="18"/>
        </w:numPr>
        <w:jc w:val="both"/>
        <w:rPr>
          <w:rFonts w:asciiTheme="minorHAnsi" w:hAnsiTheme="minorHAnsi" w:cstheme="minorHAnsi"/>
          <w:sz w:val="22"/>
          <w:szCs w:val="22"/>
        </w:rPr>
      </w:pPr>
      <w:r>
        <w:rPr>
          <w:rFonts w:asciiTheme="minorHAnsi" w:hAnsiTheme="minorHAnsi" w:cstheme="minorHAnsi"/>
          <w:sz w:val="22"/>
          <w:szCs w:val="22"/>
        </w:rPr>
        <w:t>Le formulaire de candidature comprenant la déclaration sur l'honneur relative aux critères d'exclusion, à l'absence de conflit d'intérêt et la fiche d’identité tiers ;</w:t>
      </w:r>
    </w:p>
    <w:p w:rsidR="00EC39A8" w:rsidRDefault="00E95C89">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Un descriptif des moyens humains répondant aux conditions de participation décrites ci-après</w:t>
      </w:r>
    </w:p>
    <w:p w:rsidR="00EC39A8" w:rsidRDefault="00E95C89">
      <w:pPr>
        <w:pStyle w:val="Default"/>
        <w:numPr>
          <w:ilvl w:val="1"/>
          <w:numId w:val="18"/>
        </w:numPr>
        <w:jc w:val="both"/>
        <w:rPr>
          <w:rFonts w:asciiTheme="minorHAnsi" w:hAnsiTheme="minorHAnsi" w:cstheme="minorHAnsi"/>
          <w:sz w:val="22"/>
          <w:szCs w:val="22"/>
        </w:rPr>
      </w:pPr>
      <w:r>
        <w:rPr>
          <w:rFonts w:asciiTheme="minorHAnsi" w:hAnsiTheme="minorHAnsi" w:cstheme="minorHAnsi"/>
          <w:sz w:val="22"/>
          <w:szCs w:val="22"/>
        </w:rPr>
        <w:t>Déclaration indiquant les effectifs actuels de l'entreprise et l’importance du personnel d’encadrement ;</w:t>
      </w:r>
    </w:p>
    <w:p w:rsidR="00EC39A8" w:rsidRDefault="00E95C89">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Un descriptif des moyens techniques répondant aux conditions de participation décrites ci-après</w:t>
      </w:r>
    </w:p>
    <w:p w:rsidR="00EC39A8" w:rsidRDefault="00E95C89">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Liste de références en rapport avec l’objet du marché sur des chantiers de taille similaire indiquant le nom et les coordonnées téléphoniques d’un contact référent,</w:t>
      </w:r>
    </w:p>
    <w:p w:rsidR="00EC39A8" w:rsidRDefault="00E95C89">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Déclaration indiquant l’outillage, le matériel et l’équipement technique dont le candidat dispose pour la réalisation des prestations prévues dans le cadre du marché,</w:t>
      </w:r>
    </w:p>
    <w:p w:rsidR="00EC39A8" w:rsidRDefault="00E95C89">
      <w:pPr>
        <w:pStyle w:val="Default"/>
        <w:numPr>
          <w:ilvl w:val="0"/>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Un descriptif des capacités économiques et financières répondant aux conditions de participation décrites ci-après :</w:t>
      </w:r>
    </w:p>
    <w:p w:rsidR="00EC39A8" w:rsidRDefault="00E95C89">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Déclarations de chiffres d'affaires des trois derniers exercices comptables disponibles ;</w:t>
      </w:r>
    </w:p>
    <w:p w:rsidR="00EC39A8" w:rsidRDefault="00E95C89">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Attestations d’assurance responsabilité civile et/ou professionnelle en cours de validité ;</w:t>
      </w:r>
    </w:p>
    <w:p w:rsidR="00EC39A8" w:rsidRDefault="00EC39A8">
      <w:pPr>
        <w:pStyle w:val="Default"/>
        <w:jc w:val="both"/>
        <w:rPr>
          <w:rFonts w:asciiTheme="minorHAnsi" w:eastAsia="Times" w:hAnsiTheme="minorHAnsi" w:cstheme="minorHAnsi"/>
          <w:color w:val="auto"/>
          <w:sz w:val="22"/>
          <w:szCs w:val="22"/>
        </w:rPr>
      </w:pPr>
    </w:p>
    <w:p w:rsidR="00EC39A8" w:rsidRDefault="00E95C89">
      <w:pPr>
        <w:pStyle w:val="Titre2"/>
        <w:spacing w:before="240" w:after="120" w:line="240" w:lineRule="auto"/>
        <w:jc w:val="both"/>
        <w:rPr>
          <w:rFonts w:asciiTheme="minorHAnsi" w:hAnsiTheme="minorHAnsi" w:cstheme="minorHAnsi"/>
          <w:sz w:val="22"/>
          <w:szCs w:val="22"/>
          <w:u w:val="single"/>
        </w:rPr>
      </w:pPr>
      <w:bookmarkStart w:id="74" w:name="_Toc193931844"/>
      <w:r>
        <w:rPr>
          <w:rFonts w:asciiTheme="minorHAnsi" w:hAnsiTheme="minorHAnsi" w:cstheme="minorHAnsi"/>
          <w:sz w:val="22"/>
          <w:szCs w:val="22"/>
          <w:u w:val="single"/>
        </w:rPr>
        <w:t>Pièces constitutives de l’offre</w:t>
      </w:r>
      <w:bookmarkEnd w:id="74"/>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Les candidats remettent un dossier complet comprenant les pièces suivantes :</w:t>
      </w:r>
    </w:p>
    <w:p w:rsidR="00EC39A8" w:rsidRDefault="00E95C89">
      <w:pPr>
        <w:pStyle w:val="Default"/>
        <w:numPr>
          <w:ilvl w:val="0"/>
          <w:numId w:val="18"/>
        </w:numPr>
        <w:jc w:val="both"/>
        <w:rPr>
          <w:rFonts w:asciiTheme="minorHAnsi" w:eastAsia="Times" w:hAnsiTheme="minorHAnsi" w:cstheme="minorHAnsi"/>
          <w:color w:val="auto"/>
          <w:sz w:val="22"/>
          <w:szCs w:val="22"/>
        </w:rPr>
      </w:pPr>
      <w:r>
        <w:rPr>
          <w:rFonts w:asciiTheme="minorHAnsi" w:hAnsiTheme="minorHAnsi" w:cstheme="minorHAnsi"/>
          <w:sz w:val="22"/>
          <w:szCs w:val="22"/>
        </w:rPr>
        <w:t xml:space="preserve">Le projet de contrat </w:t>
      </w:r>
      <w:r>
        <w:rPr>
          <w:rFonts w:asciiTheme="minorHAnsi" w:eastAsia="Times" w:hAnsiTheme="minorHAnsi" w:cstheme="minorHAnsi"/>
          <w:color w:val="auto"/>
          <w:sz w:val="22"/>
          <w:szCs w:val="22"/>
        </w:rPr>
        <w:t xml:space="preserve">dûment renseigné, daté et signé et en annexe : </w:t>
      </w:r>
    </w:p>
    <w:p w:rsidR="00EC39A8" w:rsidRDefault="00E95C89">
      <w:pPr>
        <w:pStyle w:val="Default"/>
        <w:numPr>
          <w:ilvl w:val="1"/>
          <w:numId w:val="18"/>
        </w:numPr>
        <w:jc w:val="both"/>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L’annexe financières dûment renseignées ;</w:t>
      </w:r>
    </w:p>
    <w:p w:rsidR="00EC39A8" w:rsidRDefault="00E95C89">
      <w:pPr>
        <w:pStyle w:val="v"/>
        <w:widowControl w:val="0"/>
        <w:numPr>
          <w:ilvl w:val="0"/>
          <w:numId w:val="18"/>
        </w:numPr>
        <w:rPr>
          <w:rFonts w:asciiTheme="minorHAnsi" w:hAnsiTheme="minorHAnsi" w:cstheme="minorHAnsi"/>
          <w:szCs w:val="22"/>
        </w:rPr>
      </w:pPr>
      <w:r>
        <w:rPr>
          <w:rFonts w:asciiTheme="minorHAnsi" w:hAnsiTheme="minorHAnsi" w:cstheme="minorHAnsi"/>
          <w:szCs w:val="22"/>
        </w:rPr>
        <w:t>Un mémoire technique comprenant :</w:t>
      </w:r>
    </w:p>
    <w:p w:rsidR="00EC39A8" w:rsidRDefault="00E95C89">
      <w:pPr>
        <w:pStyle w:val="Default"/>
        <w:numPr>
          <w:ilvl w:val="1"/>
          <w:numId w:val="18"/>
        </w:numPr>
        <w:jc w:val="both"/>
        <w:rPr>
          <w:rFonts w:asciiTheme="minorHAnsi" w:hAnsiTheme="minorHAnsi" w:cstheme="minorHAnsi"/>
          <w:sz w:val="22"/>
          <w:szCs w:val="22"/>
        </w:rPr>
      </w:pPr>
      <w:bookmarkStart w:id="75" w:name="_Hlk188968096"/>
      <w:r>
        <w:rPr>
          <w:rFonts w:asciiTheme="minorHAnsi" w:eastAsia="Times" w:hAnsiTheme="minorHAnsi" w:cstheme="minorHAnsi"/>
          <w:color w:val="auto"/>
          <w:sz w:val="22"/>
          <w:szCs w:val="22"/>
        </w:rPr>
        <w:t>Description des services du Soumissionnaire</w:t>
      </w:r>
      <w:bookmarkEnd w:id="75"/>
    </w:p>
    <w:p w:rsidR="00EC39A8" w:rsidRDefault="00E95C89">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Méthodologie de fabrication et/ou d’installation et/ou de formation des personnels</w:t>
      </w:r>
    </w:p>
    <w:p w:rsidR="00EC39A8" w:rsidRDefault="00E95C89">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t>Plan d’action avec chronogramme</w:t>
      </w:r>
    </w:p>
    <w:p w:rsidR="00EC39A8" w:rsidRDefault="00E95C89">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rPr>
        <w:lastRenderedPageBreak/>
        <w:t>Références de projets similaires.</w:t>
      </w:r>
    </w:p>
    <w:p w:rsidR="00EC39A8" w:rsidRDefault="00E95C89">
      <w:pPr>
        <w:pStyle w:val="Default"/>
        <w:jc w:val="both"/>
        <w:rPr>
          <w:rFonts w:asciiTheme="minorHAnsi" w:hAnsiTheme="minorHAnsi" w:cstheme="minorHAnsi"/>
          <w:sz w:val="22"/>
          <w:szCs w:val="22"/>
        </w:rPr>
      </w:pPr>
      <w:r>
        <w:rPr>
          <w:rFonts w:asciiTheme="minorHAnsi" w:eastAsia="Times" w:hAnsiTheme="minorHAnsi" w:cstheme="minorHAnsi"/>
          <w:color w:val="auto"/>
          <w:sz w:val="22"/>
          <w:szCs w:val="22"/>
        </w:rPr>
        <w:t xml:space="preserve">Un cadre de réponse technique est mis à disposition des candidats pour la remise de leurs offres. </w:t>
      </w:r>
    </w:p>
    <w:p w:rsidR="00EC39A8" w:rsidRDefault="00E95C89">
      <w:pPr>
        <w:pStyle w:val="Titre2"/>
        <w:spacing w:before="240" w:after="120" w:line="240" w:lineRule="auto"/>
        <w:jc w:val="both"/>
        <w:rPr>
          <w:rFonts w:asciiTheme="minorHAnsi" w:hAnsiTheme="minorHAnsi" w:cstheme="minorHAnsi"/>
          <w:sz w:val="22"/>
          <w:szCs w:val="22"/>
          <w:u w:val="single"/>
        </w:rPr>
      </w:pPr>
      <w:bookmarkStart w:id="76" w:name="_Toc193931845"/>
      <w:r>
        <w:rPr>
          <w:rFonts w:asciiTheme="minorHAnsi" w:hAnsiTheme="minorHAnsi" w:cstheme="minorHAnsi"/>
          <w:sz w:val="22"/>
          <w:szCs w:val="22"/>
          <w:u w:val="single"/>
        </w:rPr>
        <w:t>Durée de validité des offres</w:t>
      </w:r>
      <w:bookmarkEnd w:id="76"/>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La validité des offres remises par les soumissionnaires est maintenue au moins 120 jours à compter de la date limite de remise des offres.</w:t>
      </w:r>
    </w:p>
    <w:p w:rsidR="00EC39A8" w:rsidRDefault="00EC39A8">
      <w:pPr>
        <w:pStyle w:val="Default"/>
        <w:jc w:val="both"/>
        <w:rPr>
          <w:rFonts w:asciiTheme="minorHAnsi" w:hAnsiTheme="minorHAnsi" w:cstheme="minorHAnsi"/>
          <w:sz w:val="22"/>
          <w:szCs w:val="22"/>
        </w:rPr>
      </w:pPr>
    </w:p>
    <w:p w:rsidR="00EC39A8" w:rsidRDefault="00E95C89">
      <w:pPr>
        <w:pStyle w:val="Titre2"/>
        <w:spacing w:before="240" w:after="120" w:line="240" w:lineRule="auto"/>
        <w:jc w:val="both"/>
        <w:rPr>
          <w:rFonts w:asciiTheme="minorHAnsi" w:hAnsiTheme="minorHAnsi" w:cstheme="minorHAnsi"/>
          <w:sz w:val="22"/>
          <w:szCs w:val="22"/>
          <w:u w:val="single"/>
        </w:rPr>
      </w:pPr>
      <w:bookmarkStart w:id="77" w:name="_Toc491193511"/>
      <w:bookmarkStart w:id="78" w:name="_Toc491193966"/>
      <w:bookmarkStart w:id="79" w:name="_Toc193931846"/>
      <w:bookmarkEnd w:id="77"/>
      <w:bookmarkEnd w:id="78"/>
      <w:r>
        <w:rPr>
          <w:rFonts w:asciiTheme="minorHAnsi" w:hAnsiTheme="minorHAnsi" w:cstheme="minorHAnsi"/>
          <w:sz w:val="22"/>
          <w:szCs w:val="22"/>
          <w:u w:val="single"/>
        </w:rPr>
        <w:t>Modalités de remise des plis</w:t>
      </w:r>
      <w:bookmarkEnd w:id="79"/>
    </w:p>
    <w:p w:rsidR="00EC39A8" w:rsidRDefault="00E95C89">
      <w:pPr>
        <w:pStyle w:val="Titre2"/>
        <w:spacing w:before="120" w:after="120" w:line="240" w:lineRule="auto"/>
        <w:ind w:left="708"/>
        <w:jc w:val="both"/>
        <w:rPr>
          <w:rFonts w:asciiTheme="minorHAnsi" w:hAnsiTheme="minorHAnsi" w:cstheme="minorHAnsi"/>
          <w:i/>
          <w:sz w:val="22"/>
          <w:szCs w:val="22"/>
        </w:rPr>
      </w:pPr>
      <w:bookmarkStart w:id="80" w:name="_Toc193931847"/>
      <w:r>
        <w:rPr>
          <w:rFonts w:asciiTheme="minorHAnsi" w:hAnsiTheme="minorHAnsi" w:cstheme="minorHAnsi"/>
          <w:i/>
          <w:sz w:val="22"/>
          <w:szCs w:val="22"/>
        </w:rPr>
        <w:t>Remise des plis sous format papier</w:t>
      </w:r>
      <w:bookmarkEnd w:id="80"/>
      <w:r>
        <w:rPr>
          <w:rFonts w:asciiTheme="minorHAnsi" w:hAnsiTheme="minorHAnsi" w:cstheme="minorHAnsi"/>
          <w:i/>
          <w:sz w:val="22"/>
          <w:szCs w:val="22"/>
        </w:rPr>
        <w:t xml:space="preserve"> </w:t>
      </w:r>
    </w:p>
    <w:p w:rsidR="00EC39A8" w:rsidRDefault="00E95C89">
      <w:pPr>
        <w:spacing w:before="120"/>
        <w:jc w:val="both"/>
        <w:rPr>
          <w:rFonts w:asciiTheme="minorHAnsi" w:hAnsiTheme="minorHAnsi" w:cstheme="minorHAnsi"/>
          <w:sz w:val="22"/>
          <w:szCs w:val="22"/>
        </w:rPr>
      </w:pPr>
      <w:r>
        <w:rPr>
          <w:rFonts w:asciiTheme="minorHAnsi" w:hAnsiTheme="minorHAnsi" w:cstheme="minorHAnsi"/>
          <w:sz w:val="22"/>
          <w:szCs w:val="22"/>
        </w:rPr>
        <w:t>Les plis remis sous format papier sont rejetés.</w:t>
      </w:r>
    </w:p>
    <w:p w:rsidR="00EC39A8" w:rsidRDefault="00EC39A8">
      <w:pPr>
        <w:spacing w:before="120"/>
        <w:jc w:val="both"/>
        <w:rPr>
          <w:rFonts w:asciiTheme="minorHAnsi" w:eastAsia="Times New Roman" w:hAnsiTheme="minorHAnsi" w:cstheme="minorHAnsi"/>
          <w:sz w:val="22"/>
          <w:szCs w:val="22"/>
        </w:rPr>
      </w:pPr>
    </w:p>
    <w:p w:rsidR="00EC39A8" w:rsidRDefault="00E95C89">
      <w:pPr>
        <w:pStyle w:val="Titre2"/>
        <w:spacing w:before="120" w:after="120" w:line="240" w:lineRule="auto"/>
        <w:ind w:left="708"/>
        <w:jc w:val="both"/>
        <w:rPr>
          <w:rFonts w:asciiTheme="minorHAnsi" w:hAnsiTheme="minorHAnsi" w:cstheme="minorHAnsi"/>
          <w:i/>
          <w:sz w:val="22"/>
          <w:szCs w:val="22"/>
        </w:rPr>
      </w:pPr>
      <w:bookmarkStart w:id="81" w:name="_Toc193931848"/>
      <w:r>
        <w:rPr>
          <w:rFonts w:asciiTheme="minorHAnsi" w:hAnsiTheme="minorHAnsi" w:cstheme="minorHAnsi"/>
          <w:i/>
          <w:sz w:val="22"/>
          <w:szCs w:val="22"/>
        </w:rPr>
        <w:t>Remise électronique</w:t>
      </w:r>
      <w:bookmarkEnd w:id="81"/>
      <w:r>
        <w:rPr>
          <w:rFonts w:asciiTheme="minorHAnsi" w:hAnsiTheme="minorHAnsi" w:cstheme="minorHAnsi"/>
          <w:i/>
          <w:sz w:val="22"/>
          <w:szCs w:val="22"/>
        </w:rPr>
        <w:t xml:space="preserve"> </w:t>
      </w:r>
    </w:p>
    <w:p w:rsidR="00EC39A8" w:rsidRDefault="00E95C89">
      <w:p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Pour accéder à l’espace de consultation du marché ou pour déposer leur pli, </w:t>
      </w:r>
      <w:r>
        <w:rPr>
          <w:rFonts w:asciiTheme="minorHAnsi" w:eastAsia="Times New Roman" w:hAnsiTheme="minorHAnsi" w:cstheme="minorHAnsi"/>
          <w:sz w:val="22"/>
          <w:szCs w:val="22"/>
        </w:rPr>
        <w:t>les soumissionnaires doivent se connecter à la Plateforme des Achats de l’Etat à l’adresse suivante</w:t>
      </w:r>
      <w:r>
        <w:rPr>
          <w:rFonts w:asciiTheme="minorHAnsi" w:hAnsiTheme="minorHAnsi" w:cstheme="minorHAnsi"/>
          <w:sz w:val="22"/>
          <w:szCs w:val="22"/>
        </w:rPr>
        <w:t xml:space="preserve"> : </w:t>
      </w:r>
    </w:p>
    <w:p w:rsidR="00EC39A8" w:rsidRDefault="00260D0B">
      <w:pPr>
        <w:spacing w:line="240" w:lineRule="auto"/>
        <w:jc w:val="both"/>
        <w:rPr>
          <w:rFonts w:asciiTheme="minorHAnsi" w:hAnsiTheme="minorHAnsi" w:cstheme="minorHAnsi"/>
          <w:sz w:val="22"/>
          <w:szCs w:val="22"/>
        </w:rPr>
      </w:pPr>
      <w:hyperlink w:history="1">
        <w:r w:rsidR="00EC39A8">
          <w:rPr>
            <w:rStyle w:val="Lienhypertexte"/>
            <w:rFonts w:asciiTheme="minorHAnsi" w:hAnsiTheme="minorHAnsi" w:cstheme="minorHAnsi"/>
            <w:sz w:val="22"/>
            <w:szCs w:val="22"/>
          </w:rPr>
          <w:t xml:space="preserve">https://www.marches-publics.gouv.fr </w:t>
        </w:r>
      </w:hyperlink>
    </w:p>
    <w:p w:rsidR="00EC39A8" w:rsidRDefault="00E95C89">
      <w:pPr>
        <w:spacing w:before="12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Toute remise par un autre moyen sera rejetée.</w:t>
      </w:r>
    </w:p>
    <w:p w:rsidR="00EC39A8" w:rsidRDefault="00E95C89">
      <w:pPr>
        <w:spacing w:before="120" w:line="240" w:lineRule="auto"/>
        <w:jc w:val="both"/>
        <w:rPr>
          <w:rStyle w:val="Lienhypertexte"/>
          <w:rFonts w:asciiTheme="minorHAnsi" w:hAnsiTheme="minorHAnsi" w:cstheme="minorHAnsi"/>
          <w:sz w:val="22"/>
          <w:szCs w:val="22"/>
        </w:rPr>
      </w:pPr>
      <w:r>
        <w:rPr>
          <w:rFonts w:asciiTheme="minorHAnsi" w:hAnsiTheme="minorHAnsi" w:cstheme="minorHAnsi"/>
          <w:sz w:val="22"/>
          <w:szCs w:val="22"/>
        </w:rPr>
        <w:t xml:space="preserve">La procédure de dépôt des plis est détaillée sur le site </w:t>
      </w:r>
      <w:hyperlink r:id="rId14" w:tooltip="http://www.marches-publics.gouv.fr" w:history="1">
        <w:r w:rsidR="00EC39A8">
          <w:rPr>
            <w:rStyle w:val="Lienhypertexte"/>
            <w:rFonts w:asciiTheme="minorHAnsi" w:hAnsiTheme="minorHAnsi" w:cstheme="minorHAnsi"/>
            <w:sz w:val="22"/>
            <w:szCs w:val="22"/>
          </w:rPr>
          <w:t>www.marches-publics.gouv.fr</w:t>
        </w:r>
      </w:hyperlink>
      <w:r>
        <w:rPr>
          <w:rStyle w:val="Lienhypertexte"/>
          <w:rFonts w:asciiTheme="minorHAnsi" w:hAnsiTheme="minorHAnsi" w:cstheme="minorHAnsi"/>
          <w:sz w:val="22"/>
          <w:szCs w:val="22"/>
        </w:rPr>
        <w:t xml:space="preserve">. </w:t>
      </w:r>
    </w:p>
    <w:p w:rsidR="00EC39A8" w:rsidRDefault="00E95C89">
      <w:pPr>
        <w:spacing w:before="120" w:line="240" w:lineRule="auto"/>
        <w:jc w:val="both"/>
        <w:rPr>
          <w:rFonts w:asciiTheme="minorHAnsi" w:hAnsiTheme="minorHAnsi" w:cstheme="minorHAnsi"/>
          <w:sz w:val="22"/>
          <w:szCs w:val="22"/>
        </w:rPr>
      </w:pPr>
      <w:r>
        <w:rPr>
          <w:rStyle w:val="Lienhypertexte"/>
          <w:rFonts w:asciiTheme="minorHAnsi" w:hAnsiTheme="minorHAnsi" w:cstheme="minorHAnsi"/>
          <w:color w:val="auto"/>
          <w:sz w:val="22"/>
          <w:szCs w:val="22"/>
          <w:u w:val="none"/>
        </w:rPr>
        <w:t xml:space="preserve">Les soumissionnaires y trouveront notamment </w:t>
      </w:r>
      <w:r>
        <w:rPr>
          <w:rFonts w:asciiTheme="minorHAnsi" w:hAnsiTheme="minorHAnsi" w:cstheme="minorHAnsi"/>
          <w:sz w:val="22"/>
          <w:szCs w:val="22"/>
        </w:rPr>
        <w:t>un «guide utilisateur» téléchargeable qui précise les conditions d'utilisations de la plate-forme des achats de l'État, notamment les pré-requis techniques et certificats électroniques.</w:t>
      </w:r>
    </w:p>
    <w:p w:rsidR="00EC39A8" w:rsidRDefault="00E95C89">
      <w:pPr>
        <w:spacing w:before="120" w:line="240" w:lineRule="auto"/>
        <w:jc w:val="both"/>
        <w:rPr>
          <w:rStyle w:val="Lienhypertexte"/>
          <w:rFonts w:asciiTheme="minorHAnsi" w:hAnsiTheme="minorHAnsi" w:cstheme="minorHAnsi"/>
          <w:color w:val="auto"/>
          <w:sz w:val="22"/>
          <w:szCs w:val="22"/>
          <w:u w:val="none"/>
        </w:rPr>
      </w:pPr>
      <w:r>
        <w:rPr>
          <w:rFonts w:asciiTheme="minorHAnsi" w:hAnsiTheme="minorHAnsi" w:cstheme="minorHAnsi"/>
          <w:sz w:val="22"/>
          <w:szCs w:val="22"/>
        </w:rPr>
        <w:t>S'ils le souhaitent, les candidats pourront prendre contact avec le 09 72 37 01 30 tous les jours ouvrés de 9h00 à 19h00 pour bénéficier d'une assistance technique de PLACE dans l'accomplissement de ces opérations.</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En cas d'allotissement, chaque lot doit obligatoirement faire l'objet d'un dépôt électronique. Il est toutefois possible de faire un dépôt électronique unique pour plusieurs lots à condition que l'identification des lots auxquels il est répondu soit possible et sans ambigüité.</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Les frais d'accès au réseau et de recours à la signature électronique sont à la charge de chaque candidat.</w:t>
      </w:r>
    </w:p>
    <w:p w:rsidR="00EC39A8" w:rsidRDefault="00E95C89">
      <w:pPr>
        <w:spacing w:before="120" w:line="240" w:lineRule="auto"/>
        <w:jc w:val="both"/>
        <w:rPr>
          <w:rFonts w:asciiTheme="minorHAnsi" w:hAnsiTheme="minorHAnsi" w:cstheme="minorHAnsi"/>
          <w:sz w:val="22"/>
          <w:szCs w:val="22"/>
          <w:u w:val="single"/>
        </w:rPr>
      </w:pPr>
      <w:r>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L'attention des soumissionnaires est attirée sur le fait qu'ils devront au moins disposer d'un logiciel de navigation sur Internet. La disposition d'un outil de signature électronique n’est pas obligatoire.</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Pour constituer son offre, le soumissionnaire devra transmettre des fichiers établis dans les formats informatiques suivants : fichiers PDF, RTF, ZIP, suite Microsoft Office, LibreOffice ou Open Office. Tout fichier informatique établi dans un format informatique différent sera déclaré nul et non avenu.</w:t>
      </w:r>
    </w:p>
    <w:p w:rsidR="00EC39A8" w:rsidRDefault="00E95C89">
      <w:pPr>
        <w:spacing w:before="240" w:line="240" w:lineRule="auto"/>
        <w:jc w:val="both"/>
        <w:rPr>
          <w:rFonts w:asciiTheme="minorHAnsi" w:hAnsiTheme="minorHAnsi" w:cstheme="minorHAnsi"/>
          <w:b/>
          <w:sz w:val="22"/>
          <w:szCs w:val="22"/>
        </w:rPr>
      </w:pPr>
      <w:r>
        <w:rPr>
          <w:rFonts w:asciiTheme="minorHAnsi" w:hAnsiTheme="minorHAnsi" w:cstheme="minorHAnsi"/>
          <w:b/>
          <w:sz w:val="22"/>
          <w:szCs w:val="22"/>
        </w:rPr>
        <w:t>ATTENTION !</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Tout fichier constitutif de l’offre 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NB : L’attention des soumissionnaires est attirée sur la durée d’acheminement des plis électroniques volumineux. Le délai moyen de téléchargement peut varier en fonction de paramètres divers comme la capacité technique du matériel, le type de raccordement à internet, le trafic sur le réseau…</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Dans la mesure où la date et l’heure de fin d’acheminement font foi lors de la remise d’une réponse dématérialisée, les soumissionnaires sont invités à intégrer des marges de manœuvre dans leur processus de réponse par voie dématérialisée.</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Même si son offre à la présente procédure de marché public a fait l'objet d'une transmission électronique, le soumissionnaire s'engage, notamment dans le cas où son offre est retenue, à accepter la re-matérialisation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 Il s'engage enfin à en accepter la notification, selon les procédés habituellement en cours, sous forme papier.</w:t>
      </w: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2" w:name="_Toc63419901"/>
      <w:bookmarkStart w:id="83" w:name="_Toc63419905"/>
      <w:bookmarkEnd w:id="82"/>
      <w:bookmarkEnd w:id="83"/>
      <w:r>
        <w:rPr>
          <w:rFonts w:asciiTheme="minorHAnsi" w:hAnsiTheme="minorHAnsi" w:cstheme="minorHAnsi"/>
          <w:b/>
          <w:caps/>
          <w:sz w:val="28"/>
          <w:szCs w:val="22"/>
          <w:u w:val="single"/>
        </w:rPr>
        <w:t> </w:t>
      </w:r>
      <w:bookmarkStart w:id="84" w:name="_Toc193931849"/>
      <w:r>
        <w:rPr>
          <w:rFonts w:asciiTheme="minorHAnsi" w:hAnsiTheme="minorHAnsi" w:cstheme="minorHAnsi"/>
          <w:b/>
          <w:caps/>
          <w:sz w:val="28"/>
          <w:szCs w:val="22"/>
          <w:u w:val="single"/>
        </w:rPr>
        <w:t>Analyse des candidatures</w:t>
      </w:r>
      <w:bookmarkEnd w:id="84"/>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La sélection des candidatures est assurée par le Comité d’évaluation d’Expertise France et se déroule selon les modalités suivantes.</w:t>
      </w:r>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En application des dispositions de l'article R.2161-4 du code de la commande publique, le Comité d’évaluation  peut décider d'examiner les offres avant les candidatures.</w:t>
      </w:r>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Dans ce cas, les documents justificatifs concernant l'aptitude et les capacités ainsi que les moyens de preuve relatifs aux motifs d'exclusion ne sont demandés par l’autorité contractante qu'au(x) soumissionnaire(s) auquel(s) il est envisagé d'attribuer le marché.</w:t>
      </w:r>
    </w:p>
    <w:p w:rsidR="00EC39A8" w:rsidRDefault="00EC39A8">
      <w:pPr>
        <w:jc w:val="both"/>
        <w:rPr>
          <w:rFonts w:asciiTheme="minorHAnsi" w:hAnsiTheme="minorHAnsi" w:cstheme="minorHAnsi"/>
          <w:color w:val="000000"/>
          <w:sz w:val="22"/>
          <w:szCs w:val="22"/>
        </w:rPr>
      </w:pPr>
    </w:p>
    <w:p w:rsidR="00EC39A8" w:rsidRDefault="00E95C89">
      <w:pPr>
        <w:pStyle w:val="Titre2"/>
        <w:spacing w:before="120" w:after="120" w:line="240" w:lineRule="auto"/>
        <w:jc w:val="both"/>
        <w:rPr>
          <w:rFonts w:asciiTheme="minorHAnsi" w:hAnsiTheme="minorHAnsi" w:cstheme="minorHAnsi"/>
          <w:sz w:val="22"/>
          <w:szCs w:val="22"/>
          <w:u w:val="single"/>
        </w:rPr>
      </w:pPr>
      <w:bookmarkStart w:id="85" w:name="_Toc193931850"/>
      <w:r>
        <w:rPr>
          <w:rFonts w:asciiTheme="minorHAnsi" w:hAnsiTheme="minorHAnsi" w:cstheme="minorHAnsi"/>
          <w:sz w:val="22"/>
          <w:szCs w:val="22"/>
          <w:u w:val="single"/>
        </w:rPr>
        <w:t>Demande de compléments de candidature</w:t>
      </w:r>
      <w:bookmarkEnd w:id="85"/>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absentes ou incomplètes, elle peut demander aux candidats concernés de compléter leur dossier de candidature dans un délai identique pour tous. Ce délai est précisé avec la demande de complément.</w:t>
      </w:r>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Les candidatures incomplètes ou demeurées incomplètes à la suite d'une demande de compléments sont éliminées.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86" w:name="_Toc193931851"/>
      <w:r>
        <w:rPr>
          <w:rFonts w:asciiTheme="minorHAnsi" w:hAnsiTheme="minorHAnsi" w:cstheme="minorHAnsi"/>
          <w:sz w:val="22"/>
          <w:szCs w:val="22"/>
          <w:u w:val="single"/>
        </w:rPr>
        <w:t>Rejet des candidatures hors délais - Ouverture des plis</w:t>
      </w:r>
      <w:bookmarkEnd w:id="86"/>
    </w:p>
    <w:p w:rsidR="00EC39A8" w:rsidRDefault="00E95C89">
      <w:pPr>
        <w:spacing w:before="12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 Comité d’ouverture des plis (séance non publique) recense les plis reçus et l’identité des candidats et la composition des plis déposés. </w:t>
      </w:r>
    </w:p>
    <w:p w:rsidR="00EC39A8" w:rsidRDefault="00E95C89">
      <w:pPr>
        <w:spacing w:before="120"/>
        <w:jc w:val="both"/>
        <w:rPr>
          <w:rFonts w:asciiTheme="minorHAnsi" w:hAnsiTheme="minorHAnsi" w:cstheme="minorHAnsi"/>
          <w:color w:val="000000"/>
          <w:sz w:val="22"/>
          <w:szCs w:val="22"/>
        </w:rPr>
      </w:pPr>
      <w:r>
        <w:rPr>
          <w:rFonts w:asciiTheme="minorHAnsi" w:hAnsiTheme="minorHAnsi" w:cstheme="minorHAnsi"/>
          <w:color w:val="000000"/>
          <w:sz w:val="22"/>
          <w:szCs w:val="22"/>
        </w:rPr>
        <w:t>Les plis reçus hors délais sont immédiatement écartés.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87" w:name="_Toc193931852"/>
      <w:r>
        <w:rPr>
          <w:rFonts w:asciiTheme="minorHAnsi" w:hAnsiTheme="minorHAnsi" w:cstheme="minorHAnsi"/>
          <w:sz w:val="22"/>
          <w:szCs w:val="22"/>
          <w:u w:val="single"/>
        </w:rPr>
        <w:t>Recevabilité des candidatures</w:t>
      </w:r>
      <w:bookmarkEnd w:id="87"/>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En conformité avec l’Article 3 du présent document portant sur les conditions de participations,  Le Comité d’évaluation d’Expertise France procède à l'analyse des de la recevabilité des candidatures sur la base des critères de recevabilité suivants :</w:t>
      </w:r>
    </w:p>
    <w:p w:rsidR="00EC39A8" w:rsidRDefault="00E95C89">
      <w:pPr>
        <w:pStyle w:val="Paragraphedeliste"/>
        <w:numPr>
          <w:ilvl w:val="0"/>
          <w:numId w:val="32"/>
        </w:numPr>
        <w:jc w:val="both"/>
        <w:rPr>
          <w:rFonts w:asciiTheme="minorHAnsi" w:hAnsiTheme="minorHAnsi" w:cstheme="minorHAnsi"/>
          <w:color w:val="000000"/>
          <w:sz w:val="22"/>
          <w:szCs w:val="22"/>
        </w:rPr>
      </w:pPr>
      <w:r>
        <w:rPr>
          <w:rFonts w:asciiTheme="minorHAnsi" w:hAnsiTheme="minorHAnsi" w:cstheme="minorHAnsi"/>
          <w:color w:val="000000"/>
          <w:sz w:val="22"/>
          <w:szCs w:val="22"/>
        </w:rPr>
        <w:t>Enregistrement du candidat au registre du commerce</w:t>
      </w:r>
    </w:p>
    <w:p w:rsidR="00EC39A8" w:rsidRDefault="00E95C89">
      <w:pPr>
        <w:pStyle w:val="Paragraphedeliste"/>
        <w:numPr>
          <w:ilvl w:val="0"/>
          <w:numId w:val="32"/>
        </w:numPr>
        <w:jc w:val="both"/>
        <w:rPr>
          <w:rFonts w:asciiTheme="minorHAnsi" w:hAnsiTheme="minorHAnsi" w:cstheme="minorHAnsi"/>
          <w:color w:val="000000"/>
          <w:sz w:val="22"/>
          <w:szCs w:val="22"/>
        </w:rPr>
      </w:pPr>
      <w:r>
        <w:rPr>
          <w:rFonts w:asciiTheme="minorHAnsi" w:hAnsiTheme="minorHAnsi" w:cstheme="minorHAnsi"/>
          <w:color w:val="000000"/>
          <w:sz w:val="22"/>
          <w:szCs w:val="22"/>
        </w:rPr>
        <w:t>Satisfaction aux obligations sociales du candidat</w:t>
      </w:r>
    </w:p>
    <w:p w:rsidR="00EC39A8" w:rsidRDefault="00E95C89">
      <w:pPr>
        <w:pStyle w:val="Paragraphedeliste"/>
        <w:numPr>
          <w:ilvl w:val="0"/>
          <w:numId w:val="32"/>
        </w:numPr>
        <w:jc w:val="both"/>
        <w:rPr>
          <w:rFonts w:asciiTheme="minorHAnsi" w:hAnsiTheme="minorHAnsi" w:cstheme="minorHAnsi"/>
          <w:color w:val="000000"/>
          <w:sz w:val="22"/>
          <w:szCs w:val="22"/>
        </w:rPr>
      </w:pPr>
      <w:r>
        <w:rPr>
          <w:rFonts w:asciiTheme="minorHAnsi" w:hAnsiTheme="minorHAnsi" w:cstheme="minorHAnsi"/>
          <w:color w:val="000000"/>
          <w:sz w:val="22"/>
          <w:szCs w:val="22"/>
        </w:rPr>
        <w:t>Satisfaction aux obligations fiscales du candidat</w:t>
      </w:r>
    </w:p>
    <w:p w:rsidR="00EC39A8" w:rsidRDefault="00E95C89">
      <w:pPr>
        <w:pStyle w:val="Paragraphedeliste"/>
        <w:numPr>
          <w:ilvl w:val="0"/>
          <w:numId w:val="32"/>
        </w:numPr>
        <w:jc w:val="both"/>
        <w:rPr>
          <w:rFonts w:asciiTheme="minorHAnsi" w:hAnsiTheme="minorHAnsi" w:cstheme="minorHAnsi"/>
          <w:bCs/>
          <w:iCs/>
          <w:sz w:val="22"/>
          <w:szCs w:val="22"/>
        </w:rPr>
      </w:pPr>
      <w:r>
        <w:rPr>
          <w:rFonts w:asciiTheme="minorHAnsi" w:hAnsiTheme="minorHAnsi" w:cstheme="minorHAnsi"/>
          <w:color w:val="000000"/>
          <w:sz w:val="22"/>
          <w:szCs w:val="22"/>
        </w:rPr>
        <w:t xml:space="preserve">Le candidat ne doit pas se trouver dans une situation mentionnée des articles L. 2141-1 à L 2141-6 et L. 2141-7 à L. 2141-11 du Code de la commande publique et ne figurent pas </w:t>
      </w:r>
      <w:r>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 contractante</w:t>
      </w:r>
    </w:p>
    <w:p w:rsidR="00EC39A8" w:rsidRDefault="00E95C89">
      <w:pPr>
        <w:pStyle w:val="Paragraphedeliste"/>
        <w:numPr>
          <w:ilvl w:val="0"/>
          <w:numId w:val="32"/>
        </w:numPr>
        <w:jc w:val="both"/>
        <w:rPr>
          <w:rFonts w:asciiTheme="minorHAnsi" w:hAnsiTheme="minorHAnsi" w:cstheme="minorHAnsi"/>
          <w:color w:val="000000"/>
          <w:sz w:val="22"/>
          <w:szCs w:val="22"/>
        </w:rPr>
      </w:pPr>
      <w:r>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rsidR="00EC39A8" w:rsidRDefault="00E95C89">
      <w:pPr>
        <w:pStyle w:val="Paragraphedeliste"/>
        <w:numPr>
          <w:ilvl w:val="0"/>
          <w:numId w:val="32"/>
        </w:numPr>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Les candidatures qui ne justifient pas de l'aptitude professionnelle et/ou qui ne disposent manifestement pas des capacités professionnelles, techniques ou financières suffisantes demandées pour cette consultation sont éliminées</w:t>
      </w:r>
    </w:p>
    <w:p w:rsidR="00EC39A8" w:rsidRDefault="00EC39A8"/>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8" w:name="_Toc193931853"/>
      <w:r>
        <w:rPr>
          <w:rFonts w:asciiTheme="minorHAnsi" w:hAnsiTheme="minorHAnsi" w:cstheme="minorHAnsi"/>
          <w:b/>
          <w:caps/>
          <w:sz w:val="28"/>
          <w:szCs w:val="22"/>
          <w:u w:val="single"/>
        </w:rPr>
        <w:t>Evaluation des offres, négociation et attribution</w:t>
      </w:r>
      <w:bookmarkEnd w:id="88"/>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La procédure de sélection des offres est assurée par le Comité d’évaluation d’Expertise France et se déroule selon les modalités suivantes :</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89" w:name="_Toc193931854"/>
      <w:r>
        <w:rPr>
          <w:rFonts w:asciiTheme="minorHAnsi" w:hAnsiTheme="minorHAnsi" w:cstheme="minorHAnsi"/>
          <w:sz w:val="22"/>
          <w:szCs w:val="22"/>
          <w:u w:val="single"/>
        </w:rPr>
        <w:t>Rejet des offres hors délais - Ouverture des offres</w:t>
      </w:r>
      <w:bookmarkEnd w:id="89"/>
    </w:p>
    <w:p w:rsidR="00EC39A8" w:rsidRDefault="00E95C89">
      <w:pPr>
        <w:spacing w:before="1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 Comité d’ouverture des plis (séance non publique) recense les plis reçus et l’identité des soumissionnaires et la composition des plis déposés. </w:t>
      </w:r>
    </w:p>
    <w:p w:rsidR="00EC39A8" w:rsidRDefault="00E95C89">
      <w:pPr>
        <w:spacing w:before="120"/>
        <w:jc w:val="both"/>
        <w:rPr>
          <w:rFonts w:asciiTheme="minorHAnsi" w:hAnsiTheme="minorHAnsi" w:cstheme="minorHAnsi"/>
          <w:color w:val="000000"/>
          <w:sz w:val="22"/>
          <w:szCs w:val="22"/>
        </w:rPr>
      </w:pPr>
      <w:r>
        <w:rPr>
          <w:rFonts w:asciiTheme="minorHAnsi" w:hAnsiTheme="minorHAnsi" w:cstheme="minorHAnsi"/>
          <w:color w:val="000000"/>
          <w:sz w:val="22"/>
          <w:szCs w:val="22"/>
        </w:rPr>
        <w:t>Les plis reçus hors délais sont immédiatement écartés.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90" w:name="_Toc193931855"/>
      <w:r>
        <w:rPr>
          <w:rFonts w:asciiTheme="minorHAnsi" w:hAnsiTheme="minorHAnsi" w:cstheme="minorHAnsi"/>
          <w:sz w:val="22"/>
          <w:szCs w:val="22"/>
          <w:u w:val="single"/>
        </w:rPr>
        <w:t>Analyse des offres</w:t>
      </w:r>
      <w:bookmarkEnd w:id="90"/>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Après avoir vérifié que les offres reçues sont régulières, acceptables et appropriées, le Comité d’évaluation d’Expertise France procède à l'analyse des offres des soumissionnaires retenus en application des critères définis ci-après.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91" w:name="_Toc193931856"/>
      <w:r>
        <w:rPr>
          <w:rFonts w:asciiTheme="minorHAnsi" w:hAnsiTheme="minorHAnsi" w:cstheme="minorHAnsi"/>
          <w:sz w:val="22"/>
          <w:szCs w:val="22"/>
          <w:u w:val="single"/>
        </w:rPr>
        <w:t>Rejet des offres irrégulières, inacceptables et inappropriées</w:t>
      </w:r>
      <w:bookmarkEnd w:id="91"/>
    </w:p>
    <w:p w:rsidR="00EC39A8" w:rsidRDefault="00E95C89">
      <w:pPr>
        <w:jc w:val="both"/>
        <w:rPr>
          <w:rFonts w:asciiTheme="minorHAnsi" w:hAnsiTheme="minorHAnsi" w:cstheme="minorHAnsi"/>
          <w:color w:val="000000"/>
          <w:sz w:val="22"/>
          <w:szCs w:val="22"/>
        </w:rPr>
      </w:pPr>
      <w:r>
        <w:rPr>
          <w:rFonts w:asciiTheme="minorHAnsi" w:hAnsiTheme="minorHAnsi" w:cstheme="minorHAnsi"/>
          <w:color w:val="000000"/>
          <w:sz w:val="22"/>
          <w:szCs w:val="22"/>
        </w:rPr>
        <w:t>Le Comité d’évaluation procède à l’examen des offres reçues et, en application de l’article R.2152-1 du code de la commande publique, rejette les offres jugées irrégulières, inacceptables ou inappropriées, le cas échéant après mise en œuvre de la procédure de régularisation prévue à l’article R.2152-2 du même code.</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92" w:name="_Toc193931857"/>
      <w:r>
        <w:rPr>
          <w:rFonts w:asciiTheme="minorHAnsi" w:hAnsiTheme="minorHAnsi" w:cstheme="minorHAnsi"/>
          <w:sz w:val="22"/>
          <w:szCs w:val="22"/>
          <w:u w:val="single"/>
        </w:rPr>
        <w:t>Comparaison des offres pour sélection de l’offre économiquement la plus avantageuse</w:t>
      </w:r>
      <w:bookmarkEnd w:id="92"/>
    </w:p>
    <w:p w:rsidR="00EC39A8" w:rsidRDefault="00E95C89">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Le jugement des offres sera effectué séparément selon les critères suivants par l’attribution d'une note à concurrence du nombre de points maximum par critère figurant ci-après :</w:t>
      </w:r>
    </w:p>
    <w:p w:rsidR="00EC39A8" w:rsidRDefault="00E95C89">
      <w:pPr>
        <w:pStyle w:val="Titre2"/>
        <w:spacing w:before="120" w:after="120" w:line="240" w:lineRule="auto"/>
        <w:ind w:left="708"/>
        <w:jc w:val="both"/>
        <w:rPr>
          <w:rFonts w:asciiTheme="minorHAnsi" w:hAnsiTheme="minorHAnsi" w:cstheme="minorHAnsi"/>
          <w:i/>
          <w:sz w:val="22"/>
          <w:szCs w:val="22"/>
        </w:rPr>
      </w:pPr>
      <w:bookmarkStart w:id="93" w:name="_Toc193931858"/>
      <w:r>
        <w:rPr>
          <w:rFonts w:asciiTheme="minorHAnsi" w:hAnsiTheme="minorHAnsi" w:cstheme="minorHAnsi"/>
          <w:i/>
          <w:sz w:val="22"/>
          <w:szCs w:val="22"/>
        </w:rPr>
        <w:t>Critère 1 : prix des prestations</w:t>
      </w:r>
      <w:bookmarkEnd w:id="93"/>
      <w:r>
        <w:rPr>
          <w:rFonts w:asciiTheme="minorHAnsi" w:hAnsiTheme="minorHAnsi" w:cstheme="minorHAnsi"/>
          <w:i/>
          <w:sz w:val="22"/>
          <w:szCs w:val="22"/>
        </w:rPr>
        <w:t xml:space="preserve"> </w:t>
      </w:r>
    </w:p>
    <w:p w:rsidR="00EC39A8" w:rsidRDefault="00E95C89">
      <w:pPr>
        <w:spacing w:before="120"/>
        <w:jc w:val="both"/>
        <w:rPr>
          <w:rFonts w:asciiTheme="minorHAnsi" w:hAnsiTheme="minorHAnsi" w:cstheme="minorHAnsi"/>
          <w:b/>
          <w:color w:val="000000"/>
          <w:sz w:val="22"/>
          <w:szCs w:val="22"/>
        </w:rPr>
      </w:pPr>
      <w:r>
        <w:rPr>
          <w:rFonts w:asciiTheme="minorHAnsi" w:hAnsiTheme="minorHAnsi" w:cstheme="minorHAnsi"/>
          <w:sz w:val="22"/>
          <w:szCs w:val="22"/>
        </w:rPr>
        <w:t xml:space="preserve">La </w:t>
      </w:r>
      <w:r>
        <w:rPr>
          <w:rFonts w:asciiTheme="minorHAnsi" w:hAnsiTheme="minorHAnsi" w:cstheme="minorHAnsi"/>
          <w:b/>
          <w:sz w:val="22"/>
          <w:szCs w:val="22"/>
        </w:rPr>
        <w:t>notation financière (NF sur 40 points maximum)</w:t>
      </w:r>
      <w:r>
        <w:rPr>
          <w:rFonts w:asciiTheme="minorHAnsi" w:hAnsiTheme="minorHAnsi" w:cstheme="minorHAnsi"/>
          <w:sz w:val="22"/>
          <w:szCs w:val="22"/>
        </w:rPr>
        <w:t xml:space="preserve"> portera sur la comparaison des offres financières de l’ensemble des candidats dont l’offre est régulière. L’analyse du prix sera réalisée sur la base d’un détail quantitatif estimatif (DQE) représentant les quantités estimées par l’Acheteur. Voir document annexe II – Cadre de réponse financière.</w:t>
      </w:r>
    </w:p>
    <w:p w:rsidR="00EC39A8" w:rsidRDefault="00E95C89">
      <w:pPr>
        <w:pStyle w:val="Titre2"/>
        <w:spacing w:before="120" w:after="120" w:line="240" w:lineRule="auto"/>
        <w:ind w:left="708"/>
        <w:jc w:val="both"/>
        <w:rPr>
          <w:rFonts w:asciiTheme="minorHAnsi" w:hAnsiTheme="minorHAnsi" w:cstheme="minorHAnsi"/>
          <w:i/>
          <w:sz w:val="22"/>
          <w:szCs w:val="22"/>
        </w:rPr>
      </w:pPr>
      <w:bookmarkStart w:id="94" w:name="_Toc193931859"/>
      <w:r>
        <w:rPr>
          <w:rFonts w:asciiTheme="minorHAnsi" w:hAnsiTheme="minorHAnsi" w:cstheme="minorHAnsi"/>
          <w:i/>
          <w:sz w:val="22"/>
          <w:szCs w:val="22"/>
        </w:rPr>
        <w:t>Critère 2 : Qualité technique</w:t>
      </w:r>
      <w:bookmarkEnd w:id="94"/>
    </w:p>
    <w:p w:rsidR="00EC39A8" w:rsidRDefault="00EC39A8">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EC39A8">
        <w:tc>
          <w:tcPr>
            <w:tcW w:w="6654" w:type="dxa"/>
            <w:shd w:val="clear" w:color="auto" w:fill="D9D9D9" w:themeFill="background1" w:themeFillShade="D9"/>
          </w:tcPr>
          <w:p w:rsidR="00EC39A8" w:rsidRDefault="00E95C89">
            <w:pPr>
              <w:jc w:val="both"/>
              <w:rPr>
                <w:rFonts w:asciiTheme="minorHAnsi" w:hAnsiTheme="minorHAnsi" w:cstheme="minorHAnsi"/>
                <w:b/>
                <w:sz w:val="22"/>
                <w:szCs w:val="22"/>
              </w:rPr>
            </w:pPr>
            <w:r>
              <w:rPr>
                <w:rFonts w:asciiTheme="minorHAnsi" w:hAnsiTheme="minorHAnsi" w:cstheme="minorHAnsi"/>
                <w:b/>
                <w:sz w:val="22"/>
                <w:szCs w:val="22"/>
              </w:rPr>
              <w:t>Sous-critères permettant d’apprécier la qualité technique</w:t>
            </w:r>
          </w:p>
        </w:tc>
        <w:tc>
          <w:tcPr>
            <w:tcW w:w="2692" w:type="dxa"/>
            <w:shd w:val="clear" w:color="auto" w:fill="D9D9D9" w:themeFill="background1" w:themeFillShade="D9"/>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Nombre de points maximum</w:t>
            </w:r>
          </w:p>
        </w:tc>
      </w:tr>
      <w:tr w:rsidR="00EC39A8">
        <w:tc>
          <w:tcPr>
            <w:tcW w:w="6654" w:type="dxa"/>
          </w:tcPr>
          <w:p w:rsidR="00EC39A8" w:rsidRDefault="00E95C89">
            <w:pPr>
              <w:jc w:val="both"/>
              <w:rPr>
                <w:rFonts w:asciiTheme="minorHAnsi" w:hAnsiTheme="minorHAnsi" w:cstheme="minorHAnsi"/>
                <w:b/>
                <w:sz w:val="22"/>
                <w:szCs w:val="22"/>
              </w:rPr>
            </w:pPr>
            <w:r>
              <w:rPr>
                <w:rFonts w:asciiTheme="minorHAnsi" w:hAnsiTheme="minorHAnsi" w:cstheme="minorHAnsi"/>
                <w:b/>
                <w:sz w:val="22"/>
                <w:szCs w:val="22"/>
              </w:rPr>
              <w:t xml:space="preserve">Sous-critère 1 : Capacité technique et expérience du soumissionnaire </w:t>
            </w:r>
            <w:r>
              <w:rPr>
                <w:rFonts w:asciiTheme="minorHAnsi" w:hAnsiTheme="minorHAnsi" w:cstheme="minorHAnsi"/>
                <w:bCs/>
                <w:sz w:val="22"/>
                <w:szCs w:val="22"/>
              </w:rPr>
              <w:t>sera apprécié au regard de son expérience dans la mise en place d’infrastructures modulaires en Algérie, incluant le respect des normes publiques en la matière, de ses références de projets similaires avec description détaillée, ainsi que des moyens humains et logistiques dédiés à la prestation</w:t>
            </w:r>
          </w:p>
        </w:tc>
        <w:tc>
          <w:tcPr>
            <w:tcW w:w="2692" w:type="dxa"/>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20</w:t>
            </w:r>
          </w:p>
        </w:tc>
      </w:tr>
      <w:tr w:rsidR="00EC39A8">
        <w:tc>
          <w:tcPr>
            <w:tcW w:w="6654" w:type="dxa"/>
          </w:tcPr>
          <w:p w:rsidR="00EC39A8" w:rsidRDefault="00E95C89">
            <w:pPr>
              <w:pStyle w:val="Default"/>
              <w:jc w:val="both"/>
              <w:rPr>
                <w:rFonts w:asciiTheme="minorHAnsi" w:hAnsiTheme="minorHAnsi" w:cstheme="minorHAnsi"/>
                <w:sz w:val="22"/>
                <w:szCs w:val="22"/>
              </w:rPr>
            </w:pPr>
            <w:r>
              <w:rPr>
                <w:rFonts w:asciiTheme="minorHAnsi" w:hAnsiTheme="minorHAnsi" w:cstheme="minorHAnsi"/>
                <w:b/>
                <w:sz w:val="22"/>
                <w:szCs w:val="22"/>
              </w:rPr>
              <w:t xml:space="preserve">Sous-critère 2 : </w:t>
            </w:r>
            <w:r>
              <w:rPr>
                <w:rFonts w:asciiTheme="minorHAnsi" w:eastAsia="Times" w:hAnsiTheme="minorHAnsi" w:cstheme="minorHAnsi"/>
                <w:color w:val="auto"/>
                <w:sz w:val="22"/>
                <w:szCs w:val="22"/>
              </w:rPr>
              <w:t xml:space="preserve"> </w:t>
            </w:r>
            <w:r>
              <w:rPr>
                <w:rFonts w:asciiTheme="minorHAnsi" w:eastAsia="Times" w:hAnsiTheme="minorHAnsi" w:cstheme="minorHAnsi"/>
                <w:b/>
                <w:bCs/>
                <w:color w:val="auto"/>
                <w:sz w:val="22"/>
                <w:szCs w:val="22"/>
              </w:rPr>
              <w:t>Qualité et conformité de l’équipement proposé</w:t>
            </w:r>
            <w:r>
              <w:rPr>
                <w:rFonts w:asciiTheme="minorHAnsi" w:eastAsia="Times" w:hAnsiTheme="minorHAnsi" w:cstheme="minorHAnsi"/>
                <w:color w:val="auto"/>
                <w:sz w:val="22"/>
                <w:szCs w:val="22"/>
              </w:rPr>
              <w:t xml:space="preserve"> sera apprécié au regard de la correspondance des équipements aux exigences techniques du Cahier des Charges.</w:t>
            </w:r>
          </w:p>
          <w:p w:rsidR="00EC39A8" w:rsidRDefault="00EC39A8">
            <w:pPr>
              <w:jc w:val="both"/>
              <w:rPr>
                <w:rFonts w:asciiTheme="minorHAnsi" w:hAnsiTheme="minorHAnsi" w:cstheme="minorHAnsi"/>
                <w:b/>
                <w:sz w:val="22"/>
                <w:szCs w:val="22"/>
              </w:rPr>
            </w:pPr>
          </w:p>
        </w:tc>
        <w:tc>
          <w:tcPr>
            <w:tcW w:w="2692" w:type="dxa"/>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10</w:t>
            </w:r>
          </w:p>
        </w:tc>
      </w:tr>
      <w:tr w:rsidR="00EC39A8">
        <w:tc>
          <w:tcPr>
            <w:tcW w:w="6654" w:type="dxa"/>
          </w:tcPr>
          <w:p w:rsidR="00EC39A8" w:rsidRDefault="00E95C89">
            <w:pPr>
              <w:jc w:val="both"/>
              <w:rPr>
                <w:rFonts w:asciiTheme="minorHAnsi" w:hAnsiTheme="minorHAnsi" w:cstheme="minorHAnsi"/>
                <w:b/>
                <w:sz w:val="22"/>
                <w:szCs w:val="22"/>
              </w:rPr>
            </w:pPr>
            <w:r>
              <w:rPr>
                <w:rFonts w:asciiTheme="minorHAnsi" w:hAnsiTheme="minorHAnsi" w:cstheme="minorHAnsi"/>
                <w:b/>
                <w:sz w:val="22"/>
                <w:szCs w:val="22"/>
              </w:rPr>
              <w:lastRenderedPageBreak/>
              <w:t xml:space="preserve">Sous-critère 3 : Méthodologie et organisation de l’exécution du projet </w:t>
            </w:r>
            <w:r>
              <w:rPr>
                <w:rFonts w:asciiTheme="minorHAnsi" w:hAnsiTheme="minorHAnsi" w:cstheme="minorHAnsi"/>
                <w:bCs/>
                <w:sz w:val="22"/>
                <w:szCs w:val="22"/>
              </w:rPr>
              <w:t>sera apprécié au regard du plan d’action détaillé avec un chronogramme réaliste et adapté aux besoins du programme, des modalités d’installation et de mise en service des infrastructures modulaires, ainsi que des dispositions prévues pour assurer la sécurité et la gestion des risques lors de l’exécution du projet.</w:t>
            </w:r>
          </w:p>
        </w:tc>
        <w:tc>
          <w:tcPr>
            <w:tcW w:w="2692" w:type="dxa"/>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15</w:t>
            </w:r>
          </w:p>
        </w:tc>
      </w:tr>
      <w:tr w:rsidR="00EC39A8">
        <w:tc>
          <w:tcPr>
            <w:tcW w:w="6654" w:type="dxa"/>
          </w:tcPr>
          <w:p w:rsidR="00EC39A8" w:rsidRDefault="00E95C89">
            <w:pPr>
              <w:jc w:val="both"/>
              <w:rPr>
                <w:rFonts w:asciiTheme="minorHAnsi" w:hAnsiTheme="minorHAnsi" w:cstheme="minorHAnsi"/>
                <w:b/>
                <w:sz w:val="22"/>
                <w:szCs w:val="22"/>
              </w:rPr>
            </w:pPr>
            <w:r>
              <w:rPr>
                <w:rFonts w:asciiTheme="minorHAnsi" w:hAnsiTheme="minorHAnsi" w:cstheme="minorHAnsi"/>
                <w:b/>
                <w:sz w:val="22"/>
                <w:szCs w:val="22"/>
              </w:rPr>
              <w:t xml:space="preserve">Sous-critère 4 : Garanties et services après-vente </w:t>
            </w:r>
          </w:p>
          <w:p w:rsidR="00EC39A8" w:rsidRDefault="00E95C89">
            <w:pPr>
              <w:jc w:val="both"/>
              <w:rPr>
                <w:rFonts w:asciiTheme="minorHAnsi" w:hAnsiTheme="minorHAnsi" w:cstheme="minorHAnsi"/>
                <w:bCs/>
                <w:sz w:val="22"/>
                <w:szCs w:val="22"/>
              </w:rPr>
            </w:pPr>
            <w:r>
              <w:rPr>
                <w:rFonts w:asciiTheme="minorHAnsi" w:hAnsiTheme="minorHAnsi" w:cstheme="minorHAnsi"/>
                <w:bCs/>
                <w:sz w:val="22"/>
                <w:szCs w:val="22"/>
              </w:rPr>
              <w:t>Sera apprécié au regard des détails des garanties proposées après l’installation (durée, couverture, conditions), de la capacité du prestataire à assurer la maintenance et le suivi des infrastructures et équipements installés surtout les chambres froides, espace de vente, ainsi que des engagements sur la disponibilité des pièces de rechange et des interventions en cas de panne.</w:t>
            </w:r>
          </w:p>
        </w:tc>
        <w:tc>
          <w:tcPr>
            <w:tcW w:w="2692" w:type="dxa"/>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15</w:t>
            </w:r>
          </w:p>
        </w:tc>
      </w:tr>
      <w:tr w:rsidR="00EC39A8">
        <w:tc>
          <w:tcPr>
            <w:tcW w:w="6654" w:type="dxa"/>
          </w:tcPr>
          <w:p w:rsidR="00EC39A8" w:rsidRDefault="00E95C89">
            <w:pPr>
              <w:jc w:val="right"/>
              <w:rPr>
                <w:rFonts w:asciiTheme="minorHAnsi" w:hAnsiTheme="minorHAnsi" w:cstheme="minorHAnsi"/>
                <w:b/>
                <w:sz w:val="22"/>
                <w:szCs w:val="22"/>
              </w:rPr>
            </w:pPr>
            <w:r>
              <w:rPr>
                <w:rFonts w:asciiTheme="minorHAnsi" w:hAnsiTheme="minorHAnsi" w:cstheme="minorHAnsi"/>
                <w:b/>
                <w:sz w:val="22"/>
                <w:szCs w:val="22"/>
              </w:rPr>
              <w:t>TOTAL</w:t>
            </w:r>
          </w:p>
        </w:tc>
        <w:tc>
          <w:tcPr>
            <w:tcW w:w="2692" w:type="dxa"/>
          </w:tcPr>
          <w:p w:rsidR="00EC39A8" w:rsidRDefault="00E95C89">
            <w:pPr>
              <w:jc w:val="center"/>
              <w:rPr>
                <w:rFonts w:asciiTheme="minorHAnsi" w:hAnsiTheme="minorHAnsi" w:cstheme="minorHAnsi"/>
                <w:b/>
                <w:sz w:val="22"/>
                <w:szCs w:val="22"/>
              </w:rPr>
            </w:pPr>
            <w:r>
              <w:rPr>
                <w:rFonts w:asciiTheme="minorHAnsi" w:hAnsiTheme="minorHAnsi" w:cstheme="minorHAnsi"/>
                <w:b/>
                <w:sz w:val="22"/>
                <w:szCs w:val="22"/>
              </w:rPr>
              <w:t>60</w:t>
            </w:r>
          </w:p>
        </w:tc>
      </w:tr>
    </w:tbl>
    <w:p w:rsidR="00EC39A8" w:rsidRDefault="00E95C89">
      <w:pPr>
        <w:spacing w:before="120"/>
        <w:jc w:val="both"/>
        <w:rPr>
          <w:rFonts w:asciiTheme="minorHAnsi" w:hAnsiTheme="minorHAnsi" w:cstheme="minorHAnsi"/>
          <w:sz w:val="22"/>
          <w:szCs w:val="22"/>
        </w:rPr>
      </w:pPr>
      <w:r>
        <w:rPr>
          <w:rFonts w:asciiTheme="minorHAnsi" w:hAnsiTheme="minorHAnsi" w:cstheme="minorHAnsi"/>
          <w:sz w:val="22"/>
          <w:szCs w:val="22"/>
        </w:rPr>
        <w:t xml:space="preserve">Chaque offre technique, jugée conforme techniquement, se verra attribuer une </w:t>
      </w:r>
      <w:r>
        <w:rPr>
          <w:rFonts w:asciiTheme="minorHAnsi" w:hAnsiTheme="minorHAnsi" w:cstheme="minorHAnsi"/>
          <w:b/>
          <w:sz w:val="22"/>
          <w:szCs w:val="22"/>
        </w:rPr>
        <w:t xml:space="preserve">note technique (NT sur 60 points maximum) </w:t>
      </w:r>
      <w:r>
        <w:rPr>
          <w:rFonts w:asciiTheme="minorHAnsi" w:hAnsiTheme="minorHAnsi" w:cstheme="minorHAnsi"/>
          <w:sz w:val="22"/>
          <w:szCs w:val="22"/>
        </w:rPr>
        <w:t>par addition des notes pondérées obtenues sur chaque sous-critère.</w:t>
      </w:r>
    </w:p>
    <w:p w:rsidR="00EC39A8" w:rsidRDefault="00E95C89">
      <w:pPr>
        <w:spacing w:before="120"/>
        <w:jc w:val="both"/>
        <w:rPr>
          <w:rFonts w:asciiTheme="minorHAnsi" w:hAnsiTheme="minorHAnsi" w:cstheme="minorHAnsi"/>
          <w:sz w:val="22"/>
          <w:szCs w:val="22"/>
        </w:rPr>
      </w:pPr>
      <w:r>
        <w:rPr>
          <w:rFonts w:asciiTheme="minorHAnsi" w:hAnsiTheme="minorHAnsi" w:cstheme="minorHAnsi"/>
          <w:sz w:val="22"/>
          <w:szCs w:val="22"/>
        </w:rPr>
        <w:t>[Les offres ayant obtenues une note technique inférieure à 30/60 seront considérées comme inappropriées.]</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95" w:name="_Toc193931860"/>
      <w:r>
        <w:rPr>
          <w:rFonts w:asciiTheme="minorHAnsi" w:hAnsiTheme="minorHAnsi" w:cstheme="minorHAnsi"/>
          <w:sz w:val="22"/>
          <w:szCs w:val="22"/>
          <w:u w:val="single"/>
        </w:rPr>
        <w:t>Négociations</w:t>
      </w:r>
      <w:bookmarkEnd w:id="95"/>
    </w:p>
    <w:p w:rsidR="00EC39A8" w:rsidRDefault="00E95C89">
      <w:pPr>
        <w:spacing w:before="120"/>
        <w:jc w:val="both"/>
        <w:rPr>
          <w:rFonts w:asciiTheme="minorHAnsi" w:hAnsiTheme="minorHAnsi" w:cstheme="minorHAnsi"/>
          <w:color w:val="000000"/>
          <w:sz w:val="22"/>
          <w:szCs w:val="22"/>
        </w:rPr>
      </w:pPr>
      <w:r>
        <w:rPr>
          <w:rFonts w:asciiTheme="minorHAnsi" w:hAnsiTheme="minorHAnsi" w:cstheme="minorHAnsi"/>
          <w:color w:val="000000"/>
          <w:sz w:val="22"/>
          <w:szCs w:val="22"/>
        </w:rPr>
        <w:t>Aucune négociation n’est envisagée dans le cadre cette consultation</w:t>
      </w:r>
    </w:p>
    <w:p w:rsidR="00EC39A8" w:rsidRDefault="00EC39A8">
      <w:pPr>
        <w:spacing w:before="120" w:line="240" w:lineRule="auto"/>
        <w:jc w:val="both"/>
        <w:rPr>
          <w:rFonts w:asciiTheme="minorHAnsi" w:hAnsiTheme="minorHAnsi" w:cstheme="minorHAnsi"/>
          <w:sz w:val="22"/>
          <w:szCs w:val="22"/>
        </w:rPr>
      </w:pPr>
    </w:p>
    <w:p w:rsidR="00EC39A8" w:rsidRDefault="00E95C89">
      <w:pPr>
        <w:pStyle w:val="Titre2"/>
        <w:spacing w:before="120" w:after="120" w:line="240" w:lineRule="auto"/>
        <w:jc w:val="both"/>
        <w:rPr>
          <w:rFonts w:asciiTheme="minorHAnsi" w:hAnsiTheme="minorHAnsi" w:cstheme="minorHAnsi"/>
          <w:caps/>
          <w:sz w:val="28"/>
          <w:szCs w:val="22"/>
          <w:u w:val="single"/>
        </w:rPr>
      </w:pPr>
      <w:bookmarkStart w:id="96" w:name="_Toc193931861"/>
      <w:r>
        <w:rPr>
          <w:rFonts w:asciiTheme="minorHAnsi" w:hAnsiTheme="minorHAnsi" w:cstheme="minorHAnsi"/>
          <w:sz w:val="22"/>
          <w:szCs w:val="22"/>
          <w:u w:val="single"/>
        </w:rPr>
        <w:t>Attribution</w:t>
      </w:r>
      <w:bookmarkEnd w:id="96"/>
      <w:r>
        <w:rPr>
          <w:rFonts w:asciiTheme="minorHAnsi" w:hAnsiTheme="minorHAnsi" w:cstheme="minorHAnsi"/>
          <w:b w:val="0"/>
          <w:caps/>
          <w:sz w:val="28"/>
          <w:szCs w:val="22"/>
          <w:u w:val="single"/>
        </w:rPr>
        <w:t xml:space="preserve"> </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 xml:space="preserve">Une </w:t>
      </w:r>
      <w:r>
        <w:rPr>
          <w:rFonts w:asciiTheme="minorHAnsi" w:hAnsiTheme="minorHAnsi" w:cstheme="minorHAnsi"/>
          <w:b/>
          <w:sz w:val="22"/>
          <w:szCs w:val="22"/>
        </w:rPr>
        <w:t>note globale (NG sur un maximum de 100 points)</w:t>
      </w:r>
      <w:r>
        <w:rPr>
          <w:rFonts w:asciiTheme="minorHAnsi" w:hAnsiTheme="minorHAnsi" w:cstheme="minorHAnsi"/>
          <w:sz w:val="22"/>
          <w:szCs w:val="22"/>
        </w:rPr>
        <w:t xml:space="preserve"> obtenue par addition des notes technique et financière (</w:t>
      </w:r>
      <w:r>
        <w:rPr>
          <w:rFonts w:asciiTheme="minorHAnsi" w:hAnsiTheme="minorHAnsi" w:cstheme="minorHAnsi"/>
          <w:b/>
          <w:sz w:val="22"/>
          <w:szCs w:val="22"/>
        </w:rPr>
        <w:t>NG=NF+NT</w:t>
      </w:r>
      <w:r>
        <w:rPr>
          <w:rFonts w:asciiTheme="minorHAnsi" w:hAnsiTheme="minorHAnsi" w:cstheme="minorHAnsi"/>
          <w:sz w:val="22"/>
          <w:szCs w:val="22"/>
        </w:rPr>
        <w:t>) sera attribuée à chaque offre évaluée techniquement et financièrement.</w:t>
      </w:r>
    </w:p>
    <w:p w:rsidR="00EC39A8" w:rsidRDefault="00E95C89">
      <w:pPr>
        <w:spacing w:before="120" w:line="240" w:lineRule="auto"/>
        <w:jc w:val="both"/>
        <w:rPr>
          <w:rFonts w:asciiTheme="minorHAnsi" w:hAnsiTheme="minorHAnsi" w:cstheme="minorHAnsi"/>
          <w:sz w:val="22"/>
          <w:szCs w:val="22"/>
        </w:rPr>
      </w:pPr>
      <w:r>
        <w:rPr>
          <w:rFonts w:asciiTheme="minorHAnsi" w:hAnsiTheme="minorHAnsi" w:cstheme="minorHAnsi"/>
          <w:sz w:val="22"/>
          <w:szCs w:val="22"/>
        </w:rPr>
        <w:t>Le(s) soumissionnaire(s) ayant obtenu la note globale la plus élevée sera (seront) considéré(s) comme ayant fourni l'offre économiquement la plus avantageuse et se verra (verront) attribuer le marché.</w:t>
      </w:r>
    </w:p>
    <w:p w:rsidR="00EC39A8" w:rsidRDefault="00E95C89">
      <w:pPr>
        <w:spacing w:before="12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Le pouvoir adjudicateur peut ne pas donner suite à la consultation pour tout motif d'intérêt général.</w:t>
      </w:r>
    </w:p>
    <w:p w:rsidR="00EC39A8" w:rsidRDefault="00E95C89">
      <w:pPr>
        <w:pStyle w:val="v"/>
        <w:widowControl w:val="0"/>
        <w:numPr>
          <w:ilvl w:val="0"/>
          <w:numId w:val="6"/>
        </w:numPr>
        <w:spacing w:before="240" w:after="120"/>
        <w:ind w:left="0" w:firstLine="0"/>
        <w:outlineLvl w:val="0"/>
        <w:rPr>
          <w:rFonts w:asciiTheme="minorHAnsi" w:hAnsiTheme="minorHAnsi" w:cstheme="minorHAnsi"/>
          <w:b/>
          <w:caps/>
          <w:sz w:val="28"/>
          <w:szCs w:val="22"/>
          <w:u w:val="single"/>
        </w:rPr>
      </w:pPr>
      <w:bookmarkStart w:id="97" w:name="_Toc491193515"/>
      <w:bookmarkStart w:id="98" w:name="_Toc491193970"/>
      <w:bookmarkStart w:id="99" w:name="_Toc193931862"/>
      <w:bookmarkEnd w:id="97"/>
      <w:bookmarkEnd w:id="98"/>
      <w:r>
        <w:rPr>
          <w:rFonts w:asciiTheme="minorHAnsi" w:hAnsiTheme="minorHAnsi" w:cstheme="minorHAnsi"/>
          <w:b/>
          <w:caps/>
          <w:sz w:val="28"/>
          <w:szCs w:val="22"/>
          <w:u w:val="single"/>
        </w:rPr>
        <w:t>Traitement des données à caractère personnel dans le cadre de la présente consultation et pour le suivi d’exécution du contrat</w:t>
      </w:r>
      <w:bookmarkEnd w:id="99"/>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candidats/soumissionnaires sont informés que des données à caractère personnel (notamment nom, prénom, adresse mail, données de connexion) collectées en utilisant les services de la Plateforme des Achats de l’Etat (https://www.marches-publics.gouv.fr) dans le cadre de la présente procédure de passation et dans le cadre de l'exécution du contrat sont susceptibles de faire l'objet de traitement(s).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Pour les traitements réalisés avec les services de la PLACE, le Ministère de l’action et des comptes publics – la Direction des Achats de l’Etat et Expertise France, autorité contractante, sont co-responsables du traitement des données à caractère personnel.</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Pour les traitements réalisés en dehors des services de la PLACE, Expertise France, autorité contractante, est responsable du traitement des données à caractère personnel.</w:t>
      </w:r>
    </w:p>
    <w:p w:rsidR="00EC39A8" w:rsidRDefault="00E95C89">
      <w:pPr>
        <w:pStyle w:val="Titre2"/>
        <w:spacing w:before="120" w:after="120" w:line="240" w:lineRule="auto"/>
        <w:jc w:val="both"/>
        <w:rPr>
          <w:rFonts w:asciiTheme="minorHAnsi" w:hAnsiTheme="minorHAnsi" w:cstheme="minorHAnsi"/>
          <w:sz w:val="22"/>
          <w:szCs w:val="22"/>
          <w:u w:val="single"/>
        </w:rPr>
      </w:pPr>
      <w:bookmarkStart w:id="100" w:name="_Toc193931863"/>
      <w:r>
        <w:rPr>
          <w:rFonts w:asciiTheme="minorHAnsi" w:hAnsiTheme="minorHAnsi" w:cstheme="minorHAnsi"/>
          <w:sz w:val="22"/>
          <w:szCs w:val="22"/>
          <w:u w:val="single"/>
        </w:rPr>
        <w:t>Identité et coordonnées du responsable de traitement et de son représentant :</w:t>
      </w:r>
      <w:bookmarkEnd w:id="100"/>
    </w:p>
    <w:p w:rsidR="00EC39A8" w:rsidRDefault="00E95C89">
      <w:pPr>
        <w:pStyle w:val="Titre2"/>
        <w:spacing w:before="120" w:after="120" w:line="240" w:lineRule="auto"/>
        <w:ind w:left="708"/>
        <w:jc w:val="both"/>
        <w:rPr>
          <w:rFonts w:asciiTheme="minorHAnsi" w:hAnsiTheme="minorHAnsi" w:cstheme="minorHAnsi"/>
          <w:sz w:val="22"/>
          <w:szCs w:val="22"/>
          <w:u w:val="single"/>
        </w:rPr>
      </w:pPr>
      <w:bookmarkStart w:id="101" w:name="_Toc193931864"/>
      <w:r>
        <w:rPr>
          <w:rFonts w:asciiTheme="minorHAnsi" w:hAnsiTheme="minorHAnsi" w:cstheme="minorHAnsi"/>
          <w:sz w:val="22"/>
          <w:szCs w:val="22"/>
          <w:u w:val="single"/>
        </w:rPr>
        <w:t>Pour la plateforme PLACE :</w:t>
      </w:r>
      <w:bookmarkEnd w:id="101"/>
      <w:r>
        <w:rPr>
          <w:rFonts w:asciiTheme="minorHAnsi" w:hAnsiTheme="minorHAnsi" w:cstheme="minorHAnsi"/>
          <w:sz w:val="22"/>
          <w:szCs w:val="22"/>
          <w:u w:val="single"/>
        </w:rPr>
        <w:t xml:space="preserve">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 Ministère de l'action et des comptes publics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lastRenderedPageBreak/>
        <w:t>59, boulevard Vincent Auriol</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75703 Paris Cedex 13</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Représentée par le Directeur des achats de l'Etat</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Responsable de traitement opérationnel :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La Direction des achats de l’Etat représenté par son Directeur</w:t>
      </w:r>
    </w:p>
    <w:p w:rsidR="00EC39A8" w:rsidRDefault="00E95C89">
      <w:pPr>
        <w:pStyle w:val="Titre2"/>
        <w:spacing w:before="120" w:after="120" w:line="240" w:lineRule="auto"/>
        <w:ind w:left="708"/>
        <w:jc w:val="both"/>
        <w:rPr>
          <w:rFonts w:asciiTheme="minorHAnsi" w:hAnsiTheme="minorHAnsi" w:cstheme="minorHAnsi"/>
          <w:sz w:val="22"/>
          <w:szCs w:val="22"/>
          <w:u w:val="single"/>
        </w:rPr>
      </w:pPr>
      <w:bookmarkStart w:id="102" w:name="_Toc193931865"/>
      <w:r>
        <w:rPr>
          <w:rFonts w:asciiTheme="minorHAnsi" w:hAnsiTheme="minorHAnsi" w:cstheme="minorHAnsi"/>
          <w:sz w:val="22"/>
          <w:szCs w:val="22"/>
          <w:u w:val="single"/>
        </w:rPr>
        <w:t>Coordonnées du délégué à la protection des données personnelles :</w:t>
      </w:r>
      <w:bookmarkEnd w:id="102"/>
    </w:p>
    <w:p w:rsidR="00EC39A8" w:rsidRDefault="00260D0B">
      <w:pPr>
        <w:pStyle w:val="Default"/>
        <w:spacing w:before="120"/>
        <w:jc w:val="both"/>
        <w:rPr>
          <w:rFonts w:asciiTheme="minorHAnsi" w:hAnsiTheme="minorHAnsi" w:cstheme="minorHAnsi"/>
          <w:color w:val="auto"/>
          <w:sz w:val="22"/>
          <w:szCs w:val="22"/>
        </w:rPr>
      </w:pPr>
      <w:hyperlink r:id="rId15" w:tooltip="mailto:le-delegue-a-la-protection-des-donnees-personnelles@finances.gouv.fr" w:history="1">
        <w:r w:rsidR="00EC39A8">
          <w:rPr>
            <w:rFonts w:asciiTheme="minorHAnsi" w:hAnsiTheme="minorHAnsi" w:cstheme="minorHAnsi"/>
            <w:color w:val="auto"/>
            <w:sz w:val="22"/>
            <w:szCs w:val="22"/>
          </w:rPr>
          <w:t>le-delegue-a-la-protection-des-donnees-personnelles@finances.gouv.fr</w:t>
        </w:r>
      </w:hyperlink>
    </w:p>
    <w:p w:rsidR="00EC39A8" w:rsidRDefault="00EC39A8">
      <w:pPr>
        <w:pStyle w:val="Default"/>
        <w:spacing w:before="120"/>
        <w:jc w:val="both"/>
        <w:rPr>
          <w:rFonts w:asciiTheme="minorHAnsi" w:hAnsiTheme="minorHAnsi" w:cstheme="minorHAnsi"/>
          <w:color w:val="auto"/>
          <w:sz w:val="22"/>
          <w:szCs w:val="22"/>
        </w:rPr>
      </w:pPr>
    </w:p>
    <w:p w:rsidR="00EC39A8" w:rsidRDefault="00E95C89">
      <w:pPr>
        <w:pStyle w:val="Titre2"/>
        <w:spacing w:before="120" w:after="120" w:line="240" w:lineRule="auto"/>
        <w:ind w:left="708"/>
        <w:jc w:val="both"/>
        <w:rPr>
          <w:rFonts w:asciiTheme="minorHAnsi" w:hAnsiTheme="minorHAnsi" w:cstheme="minorHAnsi"/>
          <w:sz w:val="22"/>
          <w:szCs w:val="22"/>
          <w:u w:val="single"/>
        </w:rPr>
      </w:pPr>
      <w:bookmarkStart w:id="103" w:name="_Toc193931866"/>
      <w:r>
        <w:rPr>
          <w:rFonts w:asciiTheme="minorHAnsi" w:hAnsiTheme="minorHAnsi" w:cstheme="minorHAnsi"/>
          <w:sz w:val="22"/>
          <w:szCs w:val="22"/>
          <w:u w:val="single"/>
        </w:rPr>
        <w:t>Pour l’autorité contractante :</w:t>
      </w:r>
      <w:bookmarkEnd w:id="103"/>
      <w:r>
        <w:rPr>
          <w:rFonts w:asciiTheme="minorHAnsi" w:hAnsiTheme="minorHAnsi" w:cstheme="minorHAnsi"/>
          <w:sz w:val="22"/>
          <w:szCs w:val="22"/>
          <w:u w:val="single"/>
        </w:rPr>
        <w:t xml:space="preserve">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Expertise France</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40, Boulevard de Port Royal</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75005 Paris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Représentée par son Directeur Général,</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Responsable de traitement opérationnel :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 Département des Systèmes d’Information représenté par son Directeur</w:t>
      </w:r>
    </w:p>
    <w:p w:rsidR="00EC39A8" w:rsidRDefault="00E95C89">
      <w:pPr>
        <w:pStyle w:val="Titre2"/>
        <w:spacing w:before="120" w:after="120" w:line="240" w:lineRule="auto"/>
        <w:ind w:left="708"/>
        <w:jc w:val="both"/>
        <w:rPr>
          <w:rFonts w:asciiTheme="minorHAnsi" w:hAnsiTheme="minorHAnsi" w:cstheme="minorHAnsi"/>
          <w:sz w:val="22"/>
          <w:szCs w:val="22"/>
          <w:u w:val="single"/>
        </w:rPr>
      </w:pPr>
      <w:bookmarkStart w:id="104" w:name="_Toc193931867"/>
      <w:r>
        <w:rPr>
          <w:rFonts w:asciiTheme="minorHAnsi" w:hAnsiTheme="minorHAnsi" w:cstheme="minorHAnsi"/>
          <w:sz w:val="22"/>
          <w:szCs w:val="22"/>
          <w:u w:val="single"/>
        </w:rPr>
        <w:t>Coordonnées du délégué à la protection des données personnelles :</w:t>
      </w:r>
      <w:bookmarkEnd w:id="104"/>
    </w:p>
    <w:p w:rsidR="00EC39A8" w:rsidRDefault="00260D0B">
      <w:pPr>
        <w:pStyle w:val="Default"/>
        <w:spacing w:before="120"/>
        <w:jc w:val="both"/>
        <w:rPr>
          <w:rFonts w:asciiTheme="minorHAnsi" w:hAnsiTheme="minorHAnsi" w:cstheme="minorHAnsi"/>
          <w:color w:val="auto"/>
          <w:sz w:val="22"/>
          <w:szCs w:val="22"/>
        </w:rPr>
      </w:pPr>
      <w:hyperlink r:id="rId16" w:tooltip="mailto:informatique.libertes@expertisefrance.fr" w:history="1">
        <w:r w:rsidR="00EC39A8">
          <w:rPr>
            <w:rFonts w:asciiTheme="minorHAnsi" w:hAnsiTheme="minorHAnsi" w:cstheme="minorHAnsi"/>
            <w:color w:val="auto"/>
            <w:sz w:val="22"/>
            <w:szCs w:val="22"/>
          </w:rPr>
          <w:t>informatique.libertes@expertisefrance.fr</w:t>
        </w:r>
      </w:hyperlink>
    </w:p>
    <w:p w:rsidR="00EC39A8" w:rsidRDefault="00EC39A8">
      <w:pPr>
        <w:pStyle w:val="Default"/>
        <w:spacing w:before="120"/>
        <w:jc w:val="both"/>
        <w:rPr>
          <w:rFonts w:asciiTheme="minorHAnsi" w:hAnsiTheme="minorHAnsi" w:cstheme="minorHAnsi"/>
          <w:color w:val="auto"/>
          <w:sz w:val="22"/>
          <w:szCs w:val="22"/>
        </w:rPr>
      </w:pP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Les fondements juridiques légitimant le ou les traitements correspondent aux c) et e) de l'article 6.1 du RGPD, à savoir que :</w:t>
      </w:r>
    </w:p>
    <w:p w:rsidR="00EC39A8" w:rsidRDefault="00E95C89">
      <w:pPr>
        <w:pStyle w:val="Default"/>
        <w:numPr>
          <w:ilvl w:val="0"/>
          <w:numId w:val="18"/>
        </w:numPr>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 traitement est nécessaire au respect d’une obligation légale à laquelle Expertise France est soumis ;</w:t>
      </w:r>
    </w:p>
    <w:p w:rsidR="00EC39A8" w:rsidRDefault="00E95C89">
      <w:pPr>
        <w:pStyle w:val="Default"/>
        <w:numPr>
          <w:ilvl w:val="0"/>
          <w:numId w:val="18"/>
        </w:numPr>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Les finalités du ou des traitements sont : </w:t>
      </w:r>
    </w:p>
    <w:p w:rsidR="00EC39A8" w:rsidRDefault="00E95C89">
      <w:pPr>
        <w:pStyle w:val="Default"/>
        <w:numPr>
          <w:ilvl w:val="0"/>
          <w:numId w:val="18"/>
        </w:numPr>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La gestion et le suivi de la présente procédure de passation, </w:t>
      </w:r>
    </w:p>
    <w:p w:rsidR="00EC39A8" w:rsidRDefault="00E95C89">
      <w:pPr>
        <w:pStyle w:val="Default"/>
        <w:numPr>
          <w:ilvl w:val="0"/>
          <w:numId w:val="18"/>
        </w:numPr>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La gestion et le suivi de l’attribution d’un marché public. </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rsidR="00EC39A8" w:rsidRDefault="00EC39A8">
      <w:pPr>
        <w:spacing w:before="120" w:line="240" w:lineRule="auto"/>
        <w:jc w:val="both"/>
        <w:rPr>
          <w:rFonts w:asciiTheme="minorHAnsi" w:hAnsiTheme="minorHAnsi" w:cstheme="minorHAnsi"/>
          <w:sz w:val="22"/>
          <w:szCs w:val="22"/>
        </w:rPr>
      </w:pP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5" w:name="_Toc193931868"/>
      <w:r>
        <w:rPr>
          <w:rFonts w:asciiTheme="minorHAnsi" w:hAnsiTheme="minorHAnsi" w:cstheme="minorHAnsi"/>
          <w:b/>
          <w:caps/>
          <w:sz w:val="28"/>
          <w:szCs w:val="22"/>
          <w:u w:val="single"/>
        </w:rPr>
        <w:lastRenderedPageBreak/>
        <w:t>AUTRES RENSEIGNEMENTS</w:t>
      </w:r>
      <w:bookmarkEnd w:id="105"/>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Expertise France s’engage à fournir une réponse au plus tard 2 jours ouvrés avant la date limite de remise des offres.</w:t>
      </w:r>
    </w:p>
    <w:p w:rsidR="00EC39A8" w:rsidRDefault="00E95C89">
      <w:pPr>
        <w:pStyle w:val="Default"/>
        <w:spacing w:before="120"/>
        <w:jc w:val="both"/>
        <w:rPr>
          <w:rFonts w:asciiTheme="minorHAnsi" w:hAnsiTheme="minorHAnsi" w:cstheme="minorHAnsi"/>
          <w:color w:val="auto"/>
          <w:sz w:val="22"/>
          <w:szCs w:val="22"/>
        </w:rPr>
      </w:pPr>
      <w:r>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rsidR="00EC39A8" w:rsidRDefault="00EC39A8">
      <w:pPr>
        <w:pStyle w:val="Default"/>
        <w:spacing w:before="120"/>
        <w:jc w:val="both"/>
        <w:rPr>
          <w:rFonts w:asciiTheme="minorHAnsi" w:hAnsiTheme="minorHAnsi" w:cstheme="minorHAnsi"/>
          <w:color w:val="auto"/>
          <w:sz w:val="22"/>
          <w:szCs w:val="22"/>
        </w:rPr>
      </w:pPr>
    </w:p>
    <w:p w:rsidR="00EC39A8" w:rsidRDefault="00E95C89">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6" w:name="_Toc410899708"/>
      <w:bookmarkStart w:id="107" w:name="_Toc193931869"/>
      <w:r>
        <w:rPr>
          <w:rFonts w:asciiTheme="minorHAnsi" w:hAnsiTheme="minorHAnsi" w:cstheme="minorHAnsi"/>
          <w:b/>
          <w:caps/>
          <w:sz w:val="28"/>
          <w:szCs w:val="22"/>
          <w:u w:val="single"/>
        </w:rPr>
        <w:t>Voies et délais de recours</w:t>
      </w:r>
      <w:bookmarkEnd w:id="106"/>
      <w:bookmarkEnd w:id="107"/>
    </w:p>
    <w:p w:rsidR="00EC39A8" w:rsidRDefault="00E95C89">
      <w:pPr>
        <w:pStyle w:val="NormalWeb"/>
        <w:spacing w:before="0" w:after="0" w:line="276" w:lineRule="auto"/>
        <w:rPr>
          <w:rFonts w:asciiTheme="minorHAnsi" w:hAnsiTheme="minorHAnsi" w:cstheme="minorHAnsi"/>
          <w:sz w:val="22"/>
        </w:rPr>
      </w:pPr>
      <w:r>
        <w:rPr>
          <w:rFonts w:asciiTheme="minorHAnsi" w:hAnsiTheme="minorHAnsi" w:cstheme="minorHAnsi"/>
          <w:sz w:val="22"/>
          <w:szCs w:val="22"/>
        </w:rPr>
        <w:t xml:space="preserve">L'instance chargée des procédures de recours est le Tribunal judiciaire de Paris, </w:t>
      </w:r>
      <w:r>
        <w:rPr>
          <w:rFonts w:asciiTheme="minorHAnsi" w:hAnsiTheme="minorHAnsi" w:cstheme="minorHAnsi"/>
          <w:sz w:val="22"/>
        </w:rPr>
        <w:t xml:space="preserve">Parvis du Tribunal de Paris 75 859 PARIS Cedex 17 </w:t>
      </w:r>
      <w:r>
        <w:rPr>
          <w:rFonts w:asciiTheme="minorHAnsi" w:hAnsiTheme="minorHAnsi" w:cstheme="minorHAnsi"/>
          <w:sz w:val="22"/>
          <w:szCs w:val="22"/>
        </w:rPr>
        <w:t xml:space="preserve">; e-mail : </w:t>
      </w:r>
      <w:hyperlink r:id="rId17" w:tooltip="mailto:tj-paris@justice.fr" w:history="1">
        <w:r w:rsidR="00EC39A8">
          <w:rPr>
            <w:rStyle w:val="Lienhypertexte"/>
            <w:rFonts w:asciiTheme="minorHAnsi" w:hAnsiTheme="minorHAnsi" w:cstheme="minorHAnsi"/>
            <w:sz w:val="22"/>
          </w:rPr>
          <w:t>tj-paris@justice.fr</w:t>
        </w:r>
      </w:hyperlink>
      <w:r>
        <w:rPr>
          <w:rFonts w:asciiTheme="minorHAnsi" w:hAnsiTheme="minorHAnsi" w:cstheme="minorHAnsi"/>
          <w:sz w:val="22"/>
        </w:rPr>
        <w:t>.</w:t>
      </w:r>
    </w:p>
    <w:p w:rsidR="00EC39A8" w:rsidRDefault="00E95C89">
      <w:pPr>
        <w:jc w:val="both"/>
        <w:rPr>
          <w:rFonts w:asciiTheme="minorHAnsi" w:hAnsiTheme="minorHAnsi" w:cstheme="minorHAnsi"/>
          <w:sz w:val="22"/>
          <w:szCs w:val="22"/>
        </w:rPr>
      </w:pPr>
      <w:r>
        <w:rPr>
          <w:rFonts w:asciiTheme="minorHAnsi" w:hAnsiTheme="minorHAnsi" w:cstheme="minorHAnsi"/>
          <w:sz w:val="22"/>
          <w:szCs w:val="22"/>
        </w:rPr>
        <w:t xml:space="preserve">Des renseignements sur l'introduction des recours peuvent être obtenus auprès du Greffe du Tribunal judiciaire de Paris ; e-mail : </w:t>
      </w:r>
      <w:hyperlink r:id="rId18" w:tooltip="mailto:tj-paris@justice.fr" w:history="1">
        <w:r w:rsidR="00EC39A8">
          <w:rPr>
            <w:rStyle w:val="Lienhypertexte"/>
            <w:rFonts w:asciiTheme="minorHAnsi" w:hAnsiTheme="minorHAnsi" w:cstheme="minorHAnsi"/>
            <w:sz w:val="22"/>
          </w:rPr>
          <w:t>tj-paris@justice.fr</w:t>
        </w:r>
      </w:hyperlink>
      <w:r>
        <w:rPr>
          <w:rFonts w:asciiTheme="minorHAnsi" w:hAnsiTheme="minorHAnsi" w:cstheme="minorHAnsi"/>
          <w:sz w:val="22"/>
        </w:rPr>
        <w:t>.</w:t>
      </w:r>
    </w:p>
    <w:p w:rsidR="00EC39A8" w:rsidRDefault="00EC39A8">
      <w:pPr>
        <w:rPr>
          <w:rFonts w:asciiTheme="minorHAnsi" w:hAnsiTheme="minorHAnsi" w:cstheme="minorHAnsi"/>
          <w:sz w:val="22"/>
          <w:szCs w:val="22"/>
        </w:rPr>
      </w:pPr>
    </w:p>
    <w:sectPr w:rsidR="00EC39A8">
      <w:headerReference w:type="default" r:id="rId19"/>
      <w:footerReference w:type="even" r:id="rId20"/>
      <w:footerReference w:type="default" r:id="rId21"/>
      <w:headerReference w:type="first" r:id="rId22"/>
      <w:footerReference w:type="first" r:id="rId23"/>
      <w:pgSz w:w="11906" w:h="16838"/>
      <w:pgMar w:top="845" w:right="1009" w:bottom="142" w:left="1151" w:header="431" w:footer="385"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D0B" w:rsidRDefault="00260D0B">
      <w:r>
        <w:separator/>
      </w:r>
    </w:p>
  </w:endnote>
  <w:endnote w:type="continuationSeparator" w:id="0">
    <w:p w:rsidR="00260D0B" w:rsidRDefault="0026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20002A87" w:usb1="00000000"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dale Sans UI">
    <w:charset w:val="00"/>
    <w:family w:val="auto"/>
    <w:pitch w:val="variable"/>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95C8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6</w:t>
    </w:r>
    <w:r>
      <w:rPr>
        <w:rStyle w:val="Numrodepage"/>
      </w:rPr>
      <w:fldChar w:fldCharType="end"/>
    </w:r>
  </w:p>
  <w:p w:rsidR="00EC39A8" w:rsidRDefault="00EC39A8">
    <w:pPr>
      <w:pStyle w:val="Pieddepage"/>
      <w:ind w:right="360"/>
      <w:rPr>
        <w:lang w:val="nl-N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95C89">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rsidR="00EC39A8" w:rsidRDefault="00260D0B">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E95C89">
          <w:rPr>
            <w:rFonts w:asciiTheme="minorHAnsi" w:hAnsiTheme="minorHAnsi"/>
            <w:sz w:val="22"/>
            <w:szCs w:val="22"/>
          </w:rPr>
          <w:tab/>
          <w:t xml:space="preserve">Page </w:t>
        </w:r>
        <w:r w:rsidR="00E95C89">
          <w:rPr>
            <w:rFonts w:asciiTheme="minorHAnsi" w:hAnsiTheme="minorHAnsi"/>
            <w:b/>
            <w:bCs/>
            <w:sz w:val="22"/>
            <w:szCs w:val="22"/>
          </w:rPr>
          <w:fldChar w:fldCharType="begin"/>
        </w:r>
        <w:r w:rsidR="00E95C89">
          <w:rPr>
            <w:rFonts w:asciiTheme="minorHAnsi" w:hAnsiTheme="minorHAnsi"/>
            <w:b/>
            <w:bCs/>
            <w:sz w:val="22"/>
            <w:szCs w:val="22"/>
          </w:rPr>
          <w:instrText>PAGE</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3</w:t>
        </w:r>
        <w:r w:rsidR="00E95C89">
          <w:rPr>
            <w:rFonts w:asciiTheme="minorHAnsi" w:hAnsiTheme="minorHAnsi"/>
            <w:b/>
            <w:bCs/>
            <w:sz w:val="22"/>
            <w:szCs w:val="22"/>
          </w:rPr>
          <w:fldChar w:fldCharType="end"/>
        </w:r>
        <w:r w:rsidR="00E95C89">
          <w:rPr>
            <w:rFonts w:asciiTheme="minorHAnsi" w:hAnsiTheme="minorHAnsi"/>
            <w:sz w:val="22"/>
            <w:szCs w:val="22"/>
          </w:rPr>
          <w:t xml:space="preserve"> sur </w:t>
        </w:r>
        <w:r w:rsidR="00E95C89">
          <w:rPr>
            <w:rFonts w:asciiTheme="minorHAnsi" w:hAnsiTheme="minorHAnsi"/>
            <w:b/>
            <w:bCs/>
            <w:sz w:val="22"/>
            <w:szCs w:val="22"/>
          </w:rPr>
          <w:fldChar w:fldCharType="begin"/>
        </w:r>
        <w:r w:rsidR="00E95C89">
          <w:rPr>
            <w:rFonts w:asciiTheme="minorHAnsi" w:hAnsiTheme="minorHAnsi"/>
            <w:b/>
            <w:bCs/>
            <w:sz w:val="22"/>
            <w:szCs w:val="22"/>
          </w:rPr>
          <w:instrText>NUMPAGES</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13</w:t>
        </w:r>
        <w:r w:rsidR="00E95C89">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rsidR="00EC39A8" w:rsidRDefault="00E95C89">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rsidR="00EC39A8" w:rsidRDefault="00260D0B">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E95C89">
                  <w:rPr>
                    <w:rFonts w:asciiTheme="minorHAnsi" w:hAnsiTheme="minorHAnsi" w:cstheme="minorHAnsi"/>
                    <w:sz w:val="22"/>
                    <w:szCs w:val="22"/>
                  </w:rPr>
                  <w:t>DAJ_M009_v07</w:t>
                </w:r>
                <w:r w:rsidR="00E95C89">
                  <w:rPr>
                    <w:rFonts w:asciiTheme="minorHAnsi" w:hAnsiTheme="minorHAnsi" w:cstheme="minorHAnsi"/>
                    <w:sz w:val="22"/>
                    <w:szCs w:val="22"/>
                  </w:rPr>
                  <w:tab/>
                </w:r>
              </w:sdtContent>
            </w:sdt>
          </w:p>
          <w:p w:rsidR="00EC39A8" w:rsidRDefault="00E95C89">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rsidR="00EC39A8" w:rsidRDefault="00EC39A8">
            <w:pPr>
              <w:pStyle w:val="Pieddepage"/>
              <w:spacing w:line="240" w:lineRule="exact"/>
              <w:rPr>
                <w:rFonts w:asciiTheme="minorHAnsi" w:hAnsiTheme="minorHAnsi" w:cstheme="minorHAnsi"/>
                <w:b/>
                <w:sz w:val="22"/>
                <w:szCs w:val="22"/>
              </w:rPr>
            </w:pPr>
          </w:p>
          <w:p w:rsidR="00EC39A8" w:rsidRDefault="00E95C89">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C39A8">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95C89">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rsidR="00EC39A8" w:rsidRDefault="00260D0B">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Page Numbers (Top of Page)"/>
          <w:docPartUnique/>
        </w:docPartObj>
      </w:sdtPr>
      <w:sdtEndPr/>
      <w:sdtContent>
        <w:r w:rsidR="00E95C89">
          <w:rPr>
            <w:rFonts w:asciiTheme="minorHAnsi" w:hAnsiTheme="minorHAnsi"/>
            <w:sz w:val="22"/>
            <w:szCs w:val="22"/>
          </w:rPr>
          <w:tab/>
          <w:t xml:space="preserve">Page </w:t>
        </w:r>
        <w:r w:rsidR="00E95C89">
          <w:rPr>
            <w:rFonts w:asciiTheme="minorHAnsi" w:hAnsiTheme="minorHAnsi"/>
            <w:b/>
            <w:bCs/>
            <w:sz w:val="22"/>
            <w:szCs w:val="22"/>
          </w:rPr>
          <w:fldChar w:fldCharType="begin"/>
        </w:r>
        <w:r w:rsidR="00E95C89">
          <w:rPr>
            <w:rFonts w:asciiTheme="minorHAnsi" w:hAnsiTheme="minorHAnsi"/>
            <w:b/>
            <w:bCs/>
            <w:sz w:val="22"/>
            <w:szCs w:val="22"/>
          </w:rPr>
          <w:instrText>PAGE</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13</w:t>
        </w:r>
        <w:r w:rsidR="00E95C89">
          <w:rPr>
            <w:rFonts w:asciiTheme="minorHAnsi" w:hAnsiTheme="minorHAnsi"/>
            <w:b/>
            <w:bCs/>
            <w:sz w:val="22"/>
            <w:szCs w:val="22"/>
          </w:rPr>
          <w:fldChar w:fldCharType="end"/>
        </w:r>
        <w:r w:rsidR="00E95C89">
          <w:rPr>
            <w:rFonts w:asciiTheme="minorHAnsi" w:hAnsiTheme="minorHAnsi"/>
            <w:sz w:val="22"/>
            <w:szCs w:val="22"/>
          </w:rPr>
          <w:t xml:space="preserve"> sur </w:t>
        </w:r>
        <w:r w:rsidR="00E95C89">
          <w:rPr>
            <w:rFonts w:asciiTheme="minorHAnsi" w:hAnsiTheme="minorHAnsi"/>
            <w:b/>
            <w:bCs/>
            <w:sz w:val="22"/>
            <w:szCs w:val="22"/>
          </w:rPr>
          <w:fldChar w:fldCharType="begin"/>
        </w:r>
        <w:r w:rsidR="00E95C89">
          <w:rPr>
            <w:rFonts w:asciiTheme="minorHAnsi" w:hAnsiTheme="minorHAnsi"/>
            <w:b/>
            <w:bCs/>
            <w:sz w:val="22"/>
            <w:szCs w:val="22"/>
          </w:rPr>
          <w:instrText>NUMPAGES</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13</w:t>
        </w:r>
        <w:r w:rsidR="00E95C89">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Page Numbers (Bottom of Page)"/>
        <w:docPartUnique/>
      </w:docPartObj>
    </w:sdtPr>
    <w:sdtEndPr/>
    <w:sdtContent>
      <w:sdt>
        <w:sdtPr>
          <w:rPr>
            <w:rFonts w:asciiTheme="minorHAnsi" w:hAnsiTheme="minorHAnsi" w:cstheme="minorHAnsi"/>
            <w:sz w:val="22"/>
            <w:szCs w:val="22"/>
          </w:rPr>
          <w:id w:val="-2024234557"/>
          <w:docPartObj>
            <w:docPartGallery w:val="Page Numbers (Top of Page)"/>
            <w:docPartUnique/>
          </w:docPartObj>
        </w:sdtPr>
        <w:sdtEndPr/>
        <w:sdtContent>
          <w:p w:rsidR="00EC39A8" w:rsidRDefault="00E95C89">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rsidR="00EC39A8" w:rsidRDefault="00260D0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Page Numbers (Top of Page)"/>
                  <w:docPartUnique/>
                </w:docPartObj>
              </w:sdtPr>
              <w:sdtEndPr/>
              <w:sdtContent>
                <w:r w:rsidR="00E95C89">
                  <w:rPr>
                    <w:rFonts w:asciiTheme="minorHAnsi" w:hAnsiTheme="minorHAnsi"/>
                    <w:sz w:val="22"/>
                    <w:szCs w:val="22"/>
                  </w:rPr>
                  <w:tab/>
                  <w:t xml:space="preserve">Page </w:t>
                </w:r>
                <w:r w:rsidR="00E95C89">
                  <w:rPr>
                    <w:rFonts w:asciiTheme="minorHAnsi" w:hAnsiTheme="minorHAnsi"/>
                    <w:b/>
                    <w:bCs/>
                    <w:sz w:val="22"/>
                    <w:szCs w:val="22"/>
                  </w:rPr>
                  <w:fldChar w:fldCharType="begin"/>
                </w:r>
                <w:r w:rsidR="00E95C89">
                  <w:rPr>
                    <w:rFonts w:asciiTheme="minorHAnsi" w:hAnsiTheme="minorHAnsi"/>
                    <w:b/>
                    <w:bCs/>
                    <w:sz w:val="22"/>
                    <w:szCs w:val="22"/>
                  </w:rPr>
                  <w:instrText>PAGE</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4</w:t>
                </w:r>
                <w:r w:rsidR="00E95C89">
                  <w:rPr>
                    <w:rFonts w:asciiTheme="minorHAnsi" w:hAnsiTheme="minorHAnsi"/>
                    <w:b/>
                    <w:bCs/>
                    <w:sz w:val="22"/>
                    <w:szCs w:val="22"/>
                  </w:rPr>
                  <w:fldChar w:fldCharType="end"/>
                </w:r>
                <w:r w:rsidR="00E95C89">
                  <w:rPr>
                    <w:rFonts w:asciiTheme="minorHAnsi" w:hAnsiTheme="minorHAnsi"/>
                    <w:sz w:val="22"/>
                    <w:szCs w:val="22"/>
                  </w:rPr>
                  <w:t xml:space="preserve"> sur </w:t>
                </w:r>
                <w:r w:rsidR="00E95C89">
                  <w:rPr>
                    <w:rFonts w:asciiTheme="minorHAnsi" w:hAnsiTheme="minorHAnsi"/>
                    <w:b/>
                    <w:bCs/>
                    <w:sz w:val="22"/>
                    <w:szCs w:val="22"/>
                  </w:rPr>
                  <w:fldChar w:fldCharType="begin"/>
                </w:r>
                <w:r w:rsidR="00E95C89">
                  <w:rPr>
                    <w:rFonts w:asciiTheme="minorHAnsi" w:hAnsiTheme="minorHAnsi"/>
                    <w:b/>
                    <w:bCs/>
                    <w:sz w:val="22"/>
                    <w:szCs w:val="22"/>
                  </w:rPr>
                  <w:instrText>NUMPAGES</w:instrText>
                </w:r>
                <w:r w:rsidR="00E95C89">
                  <w:rPr>
                    <w:rFonts w:asciiTheme="minorHAnsi" w:hAnsiTheme="minorHAnsi"/>
                    <w:b/>
                    <w:bCs/>
                    <w:sz w:val="22"/>
                    <w:szCs w:val="22"/>
                  </w:rPr>
                  <w:fldChar w:fldCharType="separate"/>
                </w:r>
                <w:r w:rsidR="00F55588">
                  <w:rPr>
                    <w:rFonts w:asciiTheme="minorHAnsi" w:hAnsiTheme="minorHAnsi"/>
                    <w:b/>
                    <w:bCs/>
                    <w:noProof/>
                    <w:sz w:val="22"/>
                    <w:szCs w:val="22"/>
                  </w:rPr>
                  <w:t>13</w:t>
                </w:r>
                <w:r w:rsidR="00E95C89">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D0B" w:rsidRDefault="00260D0B">
      <w:r>
        <w:separator/>
      </w:r>
    </w:p>
  </w:footnote>
  <w:footnote w:type="continuationSeparator" w:id="0">
    <w:p w:rsidR="00260D0B" w:rsidRDefault="00260D0B">
      <w:r>
        <w:continuationSeparator/>
      </w:r>
    </w:p>
  </w:footnote>
  <w:footnote w:id="1">
    <w:p w:rsidR="00EC39A8" w:rsidRDefault="00E95C89">
      <w:pPr>
        <w:pStyle w:val="Notedebasdepage"/>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C39A8">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C39A8">
    <w:pPr>
      <w:pStyle w:val="En-tte"/>
      <w:tabs>
        <w:tab w:val="clear" w:pos="9072"/>
        <w:tab w:val="right" w:pos="9339"/>
      </w:tabs>
      <w:rPr>
        <w:rFonts w:ascii="Calibri" w:hAnsi="Calibri"/>
        <w:bCs/>
        <w:sz w:val="22"/>
        <w:szCs w:val="28"/>
        <w:u w:val="single"/>
        <w:lang w:val="en-US"/>
      </w:rPr>
    </w:pPr>
  </w:p>
  <w:p w:rsidR="00EC39A8" w:rsidRDefault="00E95C89">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rsidR="00EC39A8" w:rsidRDefault="00EC39A8">
    <w:pPr>
      <w:pStyle w:val="En-tte"/>
      <w:tabs>
        <w:tab w:val="clear" w:pos="4536"/>
        <w:tab w:val="clear" w:pos="9072"/>
        <w:tab w:val="right" w:pos="9781"/>
      </w:tabs>
      <w:spacing w:line="240" w:lineRule="auto"/>
      <w:rPr>
        <w:rFonts w:asciiTheme="minorHAnsi" w:hAnsiTheme="minorHAnsi" w:cs="Arial"/>
        <w:sz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Hlk62125806"/>
  <w:bookmarkStart w:id="1" w:name="_Hlk62125807"/>
  <w:p w:rsidR="00EC39A8" w:rsidRDefault="00E95C89">
    <w:pPr>
      <w:pStyle w:val="En-tte"/>
    </w:pPr>
    <w:r>
      <w:rPr>
        <w:noProof/>
      </w:rPr>
      <mc:AlternateContent>
        <mc:Choice Requires="wpg">
          <w:drawing>
            <wp:inline distT="0" distB="0" distL="0" distR="0">
              <wp:extent cx="2124000" cy="1114574"/>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2124000" cy="1114574"/>
                      </a:xfrm>
                      <a:prstGeom prst="rect">
                        <a:avLst/>
                      </a:prstGeom>
                      <a:ln>
                        <a:noFill/>
                      </a:ln>
                    </pic:spPr>
                  </pic:pic>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7.24pt;height:87.76pt;mso-wrap-distance-left:0.00pt;mso-wrap-distance-top:0.00pt;mso-wrap-distance-right:0.00pt;mso-wrap-distance-bottom:0.00pt;z-index:1;" stroked="f">
              <v:imagedata r:id="rId2" o:title=""/>
              <o:lock v:ext="edit" rotation="t"/>
            </v:shape>
          </w:pict>
        </mc:Fallback>
      </mc:AlternateContent>
    </w:r>
    <w:bookmarkEnd w:id="0"/>
    <w:bookmarkEnd w:id="1"/>
  </w:p>
  <w:p w:rsidR="00EC39A8" w:rsidRDefault="00EC39A8">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C39A8">
    <w:pPr>
      <w:pStyle w:val="En-tte"/>
      <w:tabs>
        <w:tab w:val="right" w:pos="9214"/>
      </w:tabs>
      <w:rPr>
        <w:rFonts w:ascii="Calibri" w:hAnsi="Calibri"/>
        <w:bCs/>
        <w:sz w:val="22"/>
        <w:szCs w:val="28"/>
        <w:u w:val="single"/>
        <w:lang w:val="en-US"/>
      </w:rPr>
    </w:pPr>
  </w:p>
  <w:p w:rsidR="00EC39A8" w:rsidRDefault="00E95C89">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rsidR="00EC39A8" w:rsidRDefault="00EC39A8">
    <w:pPr>
      <w:pStyle w:val="En-tte"/>
      <w:tabs>
        <w:tab w:val="clear" w:pos="4536"/>
        <w:tab w:val="clear" w:pos="9072"/>
        <w:tab w:val="right" w:pos="9639"/>
      </w:tabs>
      <w:rPr>
        <w:rFonts w:asciiTheme="minorHAnsi" w:hAnsiTheme="minorHAnsi" w:cs="Arial"/>
        <w:sz w:val="24"/>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9A8" w:rsidRDefault="00EC39A8">
    <w:pPr>
      <w:pStyle w:val="En-tte"/>
      <w:tabs>
        <w:tab w:val="clear" w:pos="4536"/>
        <w:tab w:val="clear" w:pos="9072"/>
        <w:tab w:val="right" w:pos="9781"/>
      </w:tabs>
      <w:spacing w:line="240" w:lineRule="auto"/>
      <w:rPr>
        <w:rFonts w:asciiTheme="minorHAnsi" w:hAnsiTheme="minorHAnsi" w:cs="Arial"/>
        <w:sz w:val="24"/>
      </w:rPr>
    </w:pPr>
  </w:p>
  <w:p w:rsidR="00EC39A8" w:rsidRDefault="00E95C89">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rsidR="00EC39A8" w:rsidRDefault="00EC39A8">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8B9"/>
    <w:multiLevelType w:val="multilevel"/>
    <w:tmpl w:val="842ABD62"/>
    <w:lvl w:ilvl="0">
      <w:start w:val="1"/>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916B7"/>
    <w:multiLevelType w:val="multilevel"/>
    <w:tmpl w:val="262A68E8"/>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086840EE"/>
    <w:multiLevelType w:val="multilevel"/>
    <w:tmpl w:val="55167E50"/>
    <w:lvl w:ilvl="0">
      <w:start w:val="1"/>
      <w:numFmt w:val="bullet"/>
      <w:lvlText w:val=""/>
      <w:lvlJc w:val="left"/>
      <w:pPr>
        <w:tabs>
          <w:tab w:val="num" w:pos="360"/>
        </w:tabs>
        <w:ind w:left="360" w:hanging="360"/>
      </w:pPr>
      <w:rPr>
        <w:rFonts w:ascii="Wingdings" w:hAnsi="Wingdings" w:hint="default"/>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830207"/>
    <w:multiLevelType w:val="multilevel"/>
    <w:tmpl w:val="F314D4EA"/>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466DB"/>
    <w:multiLevelType w:val="multilevel"/>
    <w:tmpl w:val="5DAAABDE"/>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6" w15:restartNumberingAfterBreak="0">
    <w:nsid w:val="0EAB569F"/>
    <w:multiLevelType w:val="multilevel"/>
    <w:tmpl w:val="BD2013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13470C4"/>
    <w:multiLevelType w:val="multilevel"/>
    <w:tmpl w:val="B6FEDF1C"/>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25CA6B1D"/>
    <w:multiLevelType w:val="multilevel"/>
    <w:tmpl w:val="08BEB816"/>
    <w:lvl w:ilvl="0">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A75422"/>
    <w:multiLevelType w:val="multilevel"/>
    <w:tmpl w:val="B316DFC8"/>
    <w:lvl w:ilvl="0">
      <w:start w:val="1"/>
      <w:numFmt w:val="bullet"/>
      <w:lvlText w:val=""/>
      <w:lvlJc w:val="left"/>
      <w:pPr>
        <w:tabs>
          <w:tab w:val="num" w:pos="770"/>
        </w:tabs>
        <w:ind w:left="770" w:hanging="360"/>
      </w:pPr>
      <w:rPr>
        <w:rFonts w:ascii="Symbol" w:hAnsi="Symbol" w:hint="default"/>
      </w:rPr>
    </w:lvl>
    <w:lvl w:ilvl="1">
      <w:start w:val="1"/>
      <w:numFmt w:val="bullet"/>
      <w:lvlText w:val="o"/>
      <w:lvlJc w:val="left"/>
      <w:pPr>
        <w:tabs>
          <w:tab w:val="num" w:pos="1490"/>
        </w:tabs>
        <w:ind w:left="1490" w:hanging="360"/>
      </w:pPr>
      <w:rPr>
        <w:rFonts w:ascii="Courier New" w:hAnsi="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31A53B0A"/>
    <w:multiLevelType w:val="multilevel"/>
    <w:tmpl w:val="5D749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3307F"/>
    <w:multiLevelType w:val="multilevel"/>
    <w:tmpl w:val="5E14ACAE"/>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9128EA"/>
    <w:multiLevelType w:val="multilevel"/>
    <w:tmpl w:val="C8D2B990"/>
    <w:lvl w:ilvl="0">
      <w:start w:val="1"/>
      <w:numFmt w:val="decimal"/>
      <w:lvlText w:val="%1."/>
      <w:lvlJc w:val="left"/>
      <w:pPr>
        <w:ind w:left="720" w:hanging="360"/>
      </w:pPr>
      <w:rPr>
        <w:rFonts w:asciiTheme="minorHAnsi" w:hAnsiTheme="minorHAnsi" w:cs="Times New Roman"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5F0272"/>
    <w:multiLevelType w:val="multilevel"/>
    <w:tmpl w:val="1EEC8416"/>
    <w:lvl w:ilvl="0">
      <w:start w:val="1"/>
      <w:numFmt w:val="bullet"/>
      <w:lvlText w:val="o"/>
      <w:lvlJc w:val="left"/>
      <w:pPr>
        <w:ind w:left="1068" w:hanging="360"/>
      </w:pPr>
      <w:rPr>
        <w:rFonts w:ascii="Courier New" w:hAnsi="Courier New" w:cs="Courier New" w:hint="default"/>
      </w:rPr>
    </w:lvl>
    <w:lvl w:ilvl="1">
      <w:start w:val="1"/>
      <w:numFmt w:val="decimal"/>
      <w:lvlText w:val="%2."/>
      <w:lvlJc w:val="left"/>
      <w:pPr>
        <w:ind w:left="1788" w:hanging="360"/>
      </w:pPr>
      <w:rPr>
        <w:rFonts w:asciiTheme="minorHAnsi" w:eastAsia="Times" w:hAnsiTheme="minorHAnsi" w:cs="Times New Roman"/>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4" w15:restartNumberingAfterBreak="0">
    <w:nsid w:val="36674993"/>
    <w:multiLevelType w:val="multilevel"/>
    <w:tmpl w:val="AFDC20A6"/>
    <w:lvl w:ilvl="0">
      <w:start w:val="1"/>
      <w:numFmt w:val="decimal"/>
      <w:lvlText w:val="%1."/>
      <w:lvlJc w:val="left"/>
      <w:pPr>
        <w:ind w:left="1776" w:hanging="360"/>
      </w:pPr>
      <w:rPr>
        <w:rFonts w:ascii="Calibri" w:hAnsi="Calibri" w:cs="Calibri" w:hint="default"/>
        <w:color w:val="auto"/>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15:restartNumberingAfterBreak="0">
    <w:nsid w:val="36884879"/>
    <w:multiLevelType w:val="multilevel"/>
    <w:tmpl w:val="1F6832B8"/>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DC66AC"/>
    <w:multiLevelType w:val="multilevel"/>
    <w:tmpl w:val="60306A1C"/>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37BBF"/>
    <w:multiLevelType w:val="multilevel"/>
    <w:tmpl w:val="4358F7BE"/>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3E6205FE"/>
    <w:multiLevelType w:val="multilevel"/>
    <w:tmpl w:val="3AB0D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B778D0"/>
    <w:multiLevelType w:val="multilevel"/>
    <w:tmpl w:val="4906F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3D73D9"/>
    <w:multiLevelType w:val="multilevel"/>
    <w:tmpl w:val="3FCE3DB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49EB133D"/>
    <w:multiLevelType w:val="multilevel"/>
    <w:tmpl w:val="7BA84634"/>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652553"/>
    <w:multiLevelType w:val="multilevel"/>
    <w:tmpl w:val="1374B9DA"/>
    <w:lvl w:ilvl="0">
      <w:numFmt w:val="bullet"/>
      <w:lvlText w:val=""/>
      <w:lvlJc w:val="left"/>
      <w:pPr>
        <w:ind w:left="720" w:hanging="360"/>
      </w:pPr>
      <w:rPr>
        <w:rFonts w:ascii="Wingdings" w:eastAsia="Calibr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2E15C1"/>
    <w:multiLevelType w:val="multilevel"/>
    <w:tmpl w:val="72DCC7E0"/>
    <w:lvl w:ilvl="0">
      <w:start w:val="1"/>
      <w:numFmt w:val="decimal"/>
      <w:lvlText w:val="%1."/>
      <w:lvlJc w:val="left"/>
      <w:pPr>
        <w:ind w:left="720" w:hanging="360"/>
      </w:pPr>
      <w:rPr>
        <w:rFonts w:hint="default"/>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2270A5"/>
    <w:multiLevelType w:val="multilevel"/>
    <w:tmpl w:val="64B05132"/>
    <w:lvl w:ilvl="0">
      <w:start w:val="1"/>
      <w:numFmt w:val="bullet"/>
      <w:pStyle w:val="w"/>
      <w:lvlText w:val=""/>
      <w:lvlJc w:val="left"/>
      <w:pPr>
        <w:tabs>
          <w:tab w:val="num" w:pos="994"/>
        </w:tabs>
        <w:ind w:left="994" w:hanging="432"/>
      </w:pPr>
      <w:rPr>
        <w:rFonts w:ascii="Symbol" w:hAnsi="Symbol"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3637C"/>
    <w:multiLevelType w:val="multilevel"/>
    <w:tmpl w:val="94AC050E"/>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6" w15:restartNumberingAfterBreak="0">
    <w:nsid w:val="53B50F9B"/>
    <w:multiLevelType w:val="multilevel"/>
    <w:tmpl w:val="9E88711E"/>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A606D63"/>
    <w:multiLevelType w:val="multilevel"/>
    <w:tmpl w:val="9D647218"/>
    <w:lvl w:ilvl="0">
      <w:start w:val="1"/>
      <w:numFmt w:val="decimal"/>
      <w:lvlText w:val="%1."/>
      <w:lvlJc w:val="left"/>
      <w:pPr>
        <w:ind w:left="1776" w:hanging="36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8" w15:restartNumberingAfterBreak="0">
    <w:nsid w:val="5B285E93"/>
    <w:multiLevelType w:val="multilevel"/>
    <w:tmpl w:val="02363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F86A5E"/>
    <w:multiLevelType w:val="multilevel"/>
    <w:tmpl w:val="D7B0F3BA"/>
    <w:lvl w:ilvl="0">
      <w:start w:val="1"/>
      <w:numFmt w:val="bullet"/>
      <w:lvlText w:val=""/>
      <w:lvlJc w:val="left"/>
      <w:pPr>
        <w:ind w:left="720" w:hanging="360"/>
      </w:pPr>
      <w:rPr>
        <w:rFonts w:ascii="Wingdings" w:hAnsi="Wingdings" w:hint="default"/>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B2FFD"/>
    <w:multiLevelType w:val="multilevel"/>
    <w:tmpl w:val="90B28BB0"/>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1" w15:restartNumberingAfterBreak="0">
    <w:nsid w:val="61B23A42"/>
    <w:multiLevelType w:val="multilevel"/>
    <w:tmpl w:val="470279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924A17"/>
    <w:multiLevelType w:val="multilevel"/>
    <w:tmpl w:val="5100BD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4963E6"/>
    <w:multiLevelType w:val="multilevel"/>
    <w:tmpl w:val="69927C2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6E7832A1"/>
    <w:multiLevelType w:val="multilevel"/>
    <w:tmpl w:val="04720B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2D2D27"/>
    <w:multiLevelType w:val="multilevel"/>
    <w:tmpl w:val="E91A4E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49640D"/>
    <w:multiLevelType w:val="multilevel"/>
    <w:tmpl w:val="06C291BE"/>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A816D9"/>
    <w:multiLevelType w:val="multilevel"/>
    <w:tmpl w:val="771836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9D6797"/>
    <w:multiLevelType w:val="multilevel"/>
    <w:tmpl w:val="93D6E8F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9" w15:restartNumberingAfterBreak="0">
    <w:nsid w:val="7AAE2CFF"/>
    <w:multiLevelType w:val="multilevel"/>
    <w:tmpl w:val="F6C6B98A"/>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7E957CA1"/>
    <w:multiLevelType w:val="multilevel"/>
    <w:tmpl w:val="EFA07722"/>
    <w:lvl w:ilvl="0">
      <w:start w:val="1"/>
      <w:numFmt w:val="bullet"/>
      <w:lvlText w:val=""/>
      <w:lvlJc w:val="left"/>
      <w:pPr>
        <w:ind w:left="731" w:hanging="360"/>
      </w:pPr>
      <w:rPr>
        <w:rFonts w:ascii="Wingdings" w:hAnsi="Wingdings" w:hint="default"/>
      </w:rPr>
    </w:lvl>
    <w:lvl w:ilvl="1">
      <w:start w:val="1"/>
      <w:numFmt w:val="bullet"/>
      <w:lvlText w:val="o"/>
      <w:lvlJc w:val="left"/>
      <w:pPr>
        <w:ind w:left="1451" w:hanging="360"/>
      </w:pPr>
      <w:rPr>
        <w:rFonts w:ascii="Courier New" w:hAnsi="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hint="default"/>
      </w:rPr>
    </w:lvl>
    <w:lvl w:ilvl="8">
      <w:start w:val="1"/>
      <w:numFmt w:val="bullet"/>
      <w:lvlText w:val=""/>
      <w:lvlJc w:val="left"/>
      <w:pPr>
        <w:ind w:left="6491" w:hanging="360"/>
      </w:pPr>
      <w:rPr>
        <w:rFonts w:ascii="Wingdings" w:hAnsi="Wingdings" w:hint="default"/>
      </w:rPr>
    </w:lvl>
  </w:abstractNum>
  <w:num w:numId="1">
    <w:abstractNumId w:val="38"/>
  </w:num>
  <w:num w:numId="2">
    <w:abstractNumId w:val="24"/>
  </w:num>
  <w:num w:numId="3">
    <w:abstractNumId w:val="21"/>
  </w:num>
  <w:num w:numId="4">
    <w:abstractNumId w:val="25"/>
  </w:num>
  <w:num w:numId="5">
    <w:abstractNumId w:val="36"/>
  </w:num>
  <w:num w:numId="6">
    <w:abstractNumId w:val="17"/>
  </w:num>
  <w:num w:numId="7">
    <w:abstractNumId w:val="8"/>
  </w:num>
  <w:num w:numId="8">
    <w:abstractNumId w:val="12"/>
  </w:num>
  <w:num w:numId="9">
    <w:abstractNumId w:val="6"/>
  </w:num>
  <w:num w:numId="10">
    <w:abstractNumId w:val="11"/>
  </w:num>
  <w:num w:numId="11">
    <w:abstractNumId w:val="37"/>
  </w:num>
  <w:num w:numId="12">
    <w:abstractNumId w:val="13"/>
  </w:num>
  <w:num w:numId="13">
    <w:abstractNumId w:val="27"/>
  </w:num>
  <w:num w:numId="14">
    <w:abstractNumId w:val="30"/>
  </w:num>
  <w:num w:numId="15">
    <w:abstractNumId w:val="1"/>
  </w:num>
  <w:num w:numId="16">
    <w:abstractNumId w:val="0"/>
  </w:num>
  <w:num w:numId="17">
    <w:abstractNumId w:val="14"/>
  </w:num>
  <w:num w:numId="18">
    <w:abstractNumId w:val="15"/>
  </w:num>
  <w:num w:numId="19">
    <w:abstractNumId w:val="33"/>
  </w:num>
  <w:num w:numId="20">
    <w:abstractNumId w:val="23"/>
  </w:num>
  <w:num w:numId="21">
    <w:abstractNumId w:val="26"/>
  </w:num>
  <w:num w:numId="22">
    <w:abstractNumId w:val="19"/>
  </w:num>
  <w:num w:numId="23">
    <w:abstractNumId w:val="20"/>
  </w:num>
  <w:num w:numId="24">
    <w:abstractNumId w:val="7"/>
  </w:num>
  <w:num w:numId="25">
    <w:abstractNumId w:val="2"/>
  </w:num>
  <w:num w:numId="26">
    <w:abstractNumId w:val="34"/>
  </w:num>
  <w:num w:numId="27">
    <w:abstractNumId w:val="29"/>
  </w:num>
  <w:num w:numId="28">
    <w:abstractNumId w:val="40"/>
  </w:num>
  <w:num w:numId="29">
    <w:abstractNumId w:val="35"/>
  </w:num>
  <w:num w:numId="30">
    <w:abstractNumId w:val="9"/>
  </w:num>
  <w:num w:numId="31">
    <w:abstractNumId w:val="18"/>
  </w:num>
  <w:num w:numId="32">
    <w:abstractNumId w:val="28"/>
  </w:num>
  <w:num w:numId="33">
    <w:abstractNumId w:val="4"/>
  </w:num>
  <w:num w:numId="34">
    <w:abstractNumId w:val="39"/>
  </w:num>
  <w:num w:numId="35">
    <w:abstractNumId w:val="5"/>
  </w:num>
  <w:num w:numId="36">
    <w:abstractNumId w:val="31"/>
  </w:num>
  <w:num w:numId="37">
    <w:abstractNumId w:val="10"/>
  </w:num>
  <w:num w:numId="38">
    <w:abstractNumId w:val="16"/>
  </w:num>
  <w:num w:numId="39">
    <w:abstractNumId w:val="32"/>
  </w:num>
  <w:num w:numId="40">
    <w:abstractNumId w:val="22"/>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A8"/>
    <w:rsid w:val="000C0148"/>
    <w:rsid w:val="001A3621"/>
    <w:rsid w:val="00260D0B"/>
    <w:rsid w:val="004163E2"/>
    <w:rsid w:val="00A74784"/>
    <w:rsid w:val="00B77151"/>
    <w:rsid w:val="00C92980"/>
    <w:rsid w:val="00E95C89"/>
    <w:rsid w:val="00EC39A8"/>
    <w:rsid w:val="00F55588"/>
    <w:rsid w:val="00F63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99218"/>
  <w15:docId w15:val="{24FD5A9E-F7C2-492A-B55F-843F0A8F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abledesillustrations">
    <w:name w:val="table of figures"/>
    <w:basedOn w:val="Normal"/>
    <w:next w:val="Normal"/>
    <w:uiPriority w:val="99"/>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Pr>
      <w:rFonts w:eastAsia="Times New Roman" w:cs="Times"/>
    </w:rPr>
  </w:style>
  <w:style w:type="character" w:styleId="Appelnotedebasdep">
    <w:name w:val="footnote reference"/>
    <w:unhideWhenUsed/>
    <w:rPr>
      <w:rFonts w:ascii="Times New Roman" w:hAnsi="Times New Roman" w:cs="Times New Roman" w:hint="default"/>
      <w:vertAlign w:val="superscript"/>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styleId="Corpsdetexte3">
    <w:name w:val="Body Text 3"/>
    <w:basedOn w:val="Normal"/>
    <w:link w:val="Corpsdetexte3Car"/>
    <w:uiPriority w:val="99"/>
    <w:unhideWhenUsed/>
    <w:pPr>
      <w:spacing w:after="120"/>
    </w:pPr>
    <w:rPr>
      <w:sz w:val="16"/>
      <w:szCs w:val="16"/>
    </w:rPr>
  </w:style>
  <w:style w:type="character" w:customStyle="1" w:styleId="Corpsdetexte3Car">
    <w:name w:val="Corps de texte 3 Car"/>
    <w:basedOn w:val="Policepardfaut"/>
    <w:link w:val="Corpsdetexte3"/>
    <w:uiPriority w:val="99"/>
    <w:rPr>
      <w:rFonts w:ascii="Arial" w:hAnsi="Arial"/>
      <w:sz w:val="16"/>
      <w:szCs w:val="16"/>
    </w:rPr>
  </w:style>
  <w:style w:type="paragraph" w:customStyle="1" w:styleId="RedTxt">
    <w:name w:val="RedTxt"/>
    <w:basedOn w:val="Normal"/>
    <w:pPr>
      <w:keepLines/>
      <w:widowControl w:val="0"/>
      <w:spacing w:line="240" w:lineRule="auto"/>
    </w:pPr>
    <w:rPr>
      <w:rFonts w:eastAsia="Times New Roman" w:cs="Arial"/>
      <w:sz w:val="18"/>
      <w:szCs w:val="18"/>
    </w:rPr>
  </w:style>
  <w:style w:type="paragraph" w:customStyle="1" w:styleId="Normal1">
    <w:name w:val="Normal1"/>
    <w:basedOn w:val="Normal"/>
    <w:link w:val="normalCar"/>
    <w:qFormat/>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Pr>
      <w:rFonts w:ascii="Times New Roman" w:eastAsia="Times New Roman" w:hAnsi="Times New Roman"/>
      <w:sz w:val="22"/>
      <w:szCs w:val="22"/>
    </w:rPr>
  </w:style>
  <w:style w:type="table" w:styleId="Tramemoyenne1-Accent1">
    <w:name w:val="Medium Shading 1 Accent 1"/>
    <w:basedOn w:val="TableauNormal"/>
    <w:uiPriority w:val="63"/>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shd w:val="clear" w:color="auto" w:fill="4F81BD" w:themeFill="accent1"/>
      </w:tcPr>
    </w:tblStylePr>
    <w:tblStylePr w:type="lastRow">
      <w:pPr>
        <w:spacing w:before="0" w:after="0" w:line="240" w:lineRule="auto"/>
      </w:pPr>
      <w:rPr>
        <w:b/>
        <w:bCs/>
      </w:rPr>
      <w:tblPr/>
      <w:tcPr>
        <w:tcBorders>
          <w:top w:val="sing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Normal2">
    <w:name w:val="Normal2"/>
    <w:basedOn w:val="Normal"/>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pPr>
      <w:spacing w:before="120" w:line="240" w:lineRule="auto"/>
      <w:jc w:val="both"/>
    </w:pPr>
    <w:rPr>
      <w:rFonts w:ascii="Times New Roman" w:eastAsia="Times New Roman" w:hAnsi="Times New Roman"/>
      <w:sz w:val="22"/>
      <w:szCs w:val="22"/>
    </w:rPr>
  </w:style>
  <w:style w:type="character" w:customStyle="1" w:styleId="En-tteCar">
    <w:name w:val="En-tête Car"/>
    <w:link w:val="En-tte"/>
    <w:rPr>
      <w:rFonts w:ascii="Arial" w:hAnsi="Arial"/>
    </w:rPr>
  </w:style>
  <w:style w:type="paragraph" w:customStyle="1" w:styleId="Text1">
    <w:name w:val="Text 1"/>
    <w:basedOn w:val="Normal"/>
    <w:pPr>
      <w:spacing w:before="120" w:after="120" w:line="240" w:lineRule="auto"/>
      <w:ind w:left="850"/>
      <w:jc w:val="both"/>
    </w:pPr>
    <w:rPr>
      <w:rFonts w:ascii="Times New Roman" w:eastAsia="Times New Roman" w:hAnsi="Times New Roman"/>
      <w:sz w:val="24"/>
      <w:szCs w:val="24"/>
      <w:lang w:val="en-GB" w:eastAsia="en-GB"/>
    </w:rPr>
  </w:style>
  <w:style w:type="paragraph" w:customStyle="1" w:styleId="Standard">
    <w:name w:val="Standard"/>
    <w:pPr>
      <w:widowControl w:val="0"/>
      <w:spacing w:before="57"/>
      <w:jc w:val="both"/>
    </w:pPr>
    <w:rPr>
      <w:rFonts w:ascii="Calibri" w:eastAsia="MS Mincho" w:hAnsi="Calibri" w:cs="Calibri"/>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marches-publics.gouv.fr"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667A-A81A-450E-88F3-3A324156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13</Pages>
  <Words>5235</Words>
  <Characters>28794</Characters>
  <Application>Microsoft Office Word</Application>
  <DocSecurity>0</DocSecurity>
  <Lines>239</Lines>
  <Paragraphs>67</Paragraphs>
  <ScaleCrop>false</ScaleCrop>
  <Company>MINEFI</Company>
  <LinksUpToDate>false</LinksUpToDate>
  <CharactersWithSpaces>33962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Loubna HAFIDI</cp:lastModifiedBy>
  <cp:revision>5</cp:revision>
  <dcterms:created xsi:type="dcterms:W3CDTF">2026-02-11T09:34:00Z</dcterms:created>
  <dcterms:modified xsi:type="dcterms:W3CDTF">2026-03-04T16:25:00Z</dcterms:modified>
</cp:coreProperties>
</file>